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92326400"/>
    <w:bookmarkEnd w:id="0"/>
    <w:p w:rsidR="000D0A46" w:rsidRPr="005A2E6C" w:rsidRDefault="00156AAF" w:rsidP="000D0A46">
      <w:pPr>
        <w:rPr>
          <w:b/>
          <w:bCs/>
        </w:rPr>
      </w:pPr>
      <w:r>
        <w:rPr>
          <w:b/>
          <w:bCs/>
        </w:rPr>
        <w:object w:dxaOrig="9072" w:dyaOrig="13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53.9pt;height:689.95pt" o:ole="">
            <v:imagedata r:id="rId5" o:title=""/>
          </v:shape>
          <o:OLEObject Type="Embed" ProgID="Word.Document.12" ShapeID="_x0000_i1032" DrawAspect="Content" ObjectID="_1792326473" r:id="rId6">
            <o:FieldCodes>\s</o:FieldCodes>
          </o:OLEObject>
        </w:object>
      </w:r>
      <w:r w:rsidR="000D0A46" w:rsidRPr="005A2E6C">
        <w:rPr>
          <w:b/>
          <w:bCs/>
        </w:rPr>
        <w:t>Thème de Formation : Pilotage stratégique et régulation dans les secteurs publics et parapublics</w:t>
      </w:r>
    </w:p>
    <w:p w:rsidR="000D0A46" w:rsidRPr="005A2E6C" w:rsidRDefault="000D0A46" w:rsidP="000D0A46">
      <w:pPr>
        <w:rPr>
          <w:b/>
          <w:bCs/>
        </w:rPr>
      </w:pPr>
      <w:r w:rsidRPr="005A2E6C">
        <w:rPr>
          <w:b/>
          <w:bCs/>
        </w:rPr>
        <w:t>1. Contexte et justification de la formation</w:t>
      </w:r>
    </w:p>
    <w:p w:rsidR="000D0A46" w:rsidRPr="005A2E6C" w:rsidRDefault="000D0A46" w:rsidP="000D0A46">
      <w:r w:rsidRPr="005A2E6C">
        <w:t>Dans un environnement en mutation constante, les secteurs publics et parapublics doivent adapter leurs stratégies pour répondre aux nouvelles exigences en termes de qualité de service, de transparence et d’efficience. Le pilotage stratégique devient alors un élément crucial pour assurer une bonne gouvernance et une gestion optimale des ressources. De plus, la régulation des secteurs stratégiques, tels que les infrastructures, l’énergie et les télécommunications, est indispensable pour garantir une concurrence équitable et protéger l’intérêt général. Cette formation fournit les outils nécessaires pour piloter efficacement les politiques publiques et renforcer les capacités de régulation des acteurs clés dans les secteurs publics et parapublics.</w:t>
      </w:r>
    </w:p>
    <w:p w:rsidR="000D0A46" w:rsidRPr="005A2E6C" w:rsidRDefault="000D0A46" w:rsidP="000D0A46">
      <w:pPr>
        <w:rPr>
          <w:b/>
          <w:bCs/>
        </w:rPr>
      </w:pPr>
      <w:r w:rsidRPr="005A2E6C">
        <w:rPr>
          <w:b/>
          <w:bCs/>
        </w:rPr>
        <w:t>2. Public(s) cible(s)</w:t>
      </w:r>
    </w:p>
    <w:p w:rsidR="000D0A46" w:rsidRPr="005A2E6C" w:rsidRDefault="000D0A46" w:rsidP="000D0A46">
      <w:pPr>
        <w:numPr>
          <w:ilvl w:val="0"/>
          <w:numId w:val="7"/>
        </w:numPr>
      </w:pPr>
      <w:r w:rsidRPr="005A2E6C">
        <w:t>Cadres et dirigeants des administrations publiques</w:t>
      </w:r>
    </w:p>
    <w:p w:rsidR="000D0A46" w:rsidRPr="005A2E6C" w:rsidRDefault="000D0A46" w:rsidP="000D0A46">
      <w:pPr>
        <w:numPr>
          <w:ilvl w:val="0"/>
          <w:numId w:val="7"/>
        </w:numPr>
      </w:pPr>
      <w:r w:rsidRPr="005A2E6C">
        <w:t>Responsables des agences de régulation</w:t>
      </w:r>
    </w:p>
    <w:p w:rsidR="000D0A46" w:rsidRPr="005A2E6C" w:rsidRDefault="000D0A46" w:rsidP="000D0A46">
      <w:pPr>
        <w:numPr>
          <w:ilvl w:val="0"/>
          <w:numId w:val="7"/>
        </w:numPr>
      </w:pPr>
      <w:r w:rsidRPr="005A2E6C">
        <w:t>Gestionnaires de projets parapublics</w:t>
      </w:r>
    </w:p>
    <w:p w:rsidR="000D0A46" w:rsidRPr="005A2E6C" w:rsidRDefault="000D0A46" w:rsidP="000D0A46">
      <w:pPr>
        <w:numPr>
          <w:ilvl w:val="0"/>
          <w:numId w:val="7"/>
        </w:numPr>
      </w:pPr>
      <w:r w:rsidRPr="005A2E6C">
        <w:t>Responsables des politiques sectorielles</w:t>
      </w:r>
    </w:p>
    <w:p w:rsidR="000D0A46" w:rsidRPr="005A2E6C" w:rsidRDefault="000D0A46" w:rsidP="000D0A46">
      <w:pPr>
        <w:numPr>
          <w:ilvl w:val="0"/>
          <w:numId w:val="7"/>
        </w:numPr>
      </w:pPr>
      <w:r w:rsidRPr="005A2E6C">
        <w:t>Consultants en pilotage stratégique et régulation</w:t>
      </w:r>
    </w:p>
    <w:p w:rsidR="000D0A46" w:rsidRPr="005A2E6C" w:rsidRDefault="000D0A46" w:rsidP="000D0A46">
      <w:pPr>
        <w:rPr>
          <w:b/>
          <w:bCs/>
        </w:rPr>
      </w:pPr>
      <w:r w:rsidRPr="005A2E6C">
        <w:rPr>
          <w:b/>
          <w:bCs/>
        </w:rPr>
        <w:t>3. Objectifs de la formation</w:t>
      </w:r>
    </w:p>
    <w:p w:rsidR="000D0A46" w:rsidRPr="005A2E6C" w:rsidRDefault="000D0A46" w:rsidP="000D0A46">
      <w:r w:rsidRPr="005A2E6C">
        <w:rPr>
          <w:b/>
          <w:bCs/>
        </w:rPr>
        <w:t>3.1. Objectif général</w:t>
      </w:r>
      <w:r w:rsidRPr="005A2E6C">
        <w:br/>
        <w:t>Acquérir les compétences nécessaires pour piloter stratégiquement les secteurs publics et parapublics et renforcer les mécanismes de régulation des marchés dans ces secteurs stratégiques.</w:t>
      </w:r>
    </w:p>
    <w:p w:rsidR="000D0A46" w:rsidRPr="005A2E6C" w:rsidRDefault="000D0A46" w:rsidP="000D0A46">
      <w:r w:rsidRPr="005A2E6C">
        <w:rPr>
          <w:b/>
          <w:bCs/>
        </w:rPr>
        <w:t>3.2. Objectifs spécifiques</w:t>
      </w:r>
      <w:r w:rsidRPr="005A2E6C">
        <w:br/>
        <w:t>À l'issue de cette formation, les participants seront capables de :</w:t>
      </w:r>
    </w:p>
    <w:p w:rsidR="000D0A46" w:rsidRPr="005A2E6C" w:rsidRDefault="000D0A46" w:rsidP="000D0A46">
      <w:pPr>
        <w:numPr>
          <w:ilvl w:val="0"/>
          <w:numId w:val="8"/>
        </w:numPr>
      </w:pPr>
      <w:r w:rsidRPr="005A2E6C">
        <w:t>Élaborer des stratégies de pilotage adaptées aux besoins des secteurs publics et parapublics</w:t>
      </w:r>
    </w:p>
    <w:p w:rsidR="000D0A46" w:rsidRPr="005A2E6C" w:rsidRDefault="000D0A46" w:rsidP="000D0A46">
      <w:pPr>
        <w:numPr>
          <w:ilvl w:val="0"/>
          <w:numId w:val="8"/>
        </w:numPr>
      </w:pPr>
      <w:r w:rsidRPr="005A2E6C">
        <w:t>Définir et mettre en place des mécanismes efficaces de régulation des marchés stratégiques</w:t>
      </w:r>
    </w:p>
    <w:p w:rsidR="000D0A46" w:rsidRPr="005A2E6C" w:rsidRDefault="000D0A46" w:rsidP="000D0A46">
      <w:pPr>
        <w:numPr>
          <w:ilvl w:val="0"/>
          <w:numId w:val="8"/>
        </w:numPr>
      </w:pPr>
      <w:r w:rsidRPr="005A2E6C">
        <w:t>Garantir une gouvernance efficace en utilisant des outils modernes de gestion publique</w:t>
      </w:r>
    </w:p>
    <w:p w:rsidR="000D0A46" w:rsidRPr="005A2E6C" w:rsidRDefault="000D0A46" w:rsidP="000D0A46">
      <w:pPr>
        <w:numPr>
          <w:ilvl w:val="0"/>
          <w:numId w:val="8"/>
        </w:numPr>
      </w:pPr>
      <w:r w:rsidRPr="005A2E6C">
        <w:t>Appliquer les meilleures pratiques de régulation dans les secteurs clés tels que l'énergie, les infrastructures, etc.</w:t>
      </w:r>
    </w:p>
    <w:p w:rsidR="000D0A46" w:rsidRPr="005A2E6C" w:rsidRDefault="00156AAF" w:rsidP="000D0A46">
      <w:r>
        <w:pict>
          <v:rect id="_x0000_i1025" style="width:0;height:1.5pt" o:hralign="center" o:hrstd="t" o:hr="t" fillcolor="#a0a0a0" stroked="f"/>
        </w:pict>
      </w:r>
    </w:p>
    <w:p w:rsidR="000D0A46" w:rsidRPr="005A2E6C" w:rsidRDefault="000D0A46" w:rsidP="000D0A46">
      <w:pPr>
        <w:rPr>
          <w:b/>
          <w:bCs/>
        </w:rPr>
      </w:pPr>
      <w:r w:rsidRPr="005A2E6C">
        <w:rPr>
          <w:b/>
          <w:bCs/>
        </w:rPr>
        <w:t>4. Contenu de la formation</w:t>
      </w:r>
    </w:p>
    <w:p w:rsidR="000D0A46" w:rsidRPr="005A2E6C" w:rsidRDefault="000D0A46" w:rsidP="000D0A46">
      <w:pPr>
        <w:numPr>
          <w:ilvl w:val="0"/>
          <w:numId w:val="9"/>
        </w:numPr>
      </w:pPr>
      <w:r w:rsidRPr="005A2E6C">
        <w:rPr>
          <w:b/>
          <w:bCs/>
        </w:rPr>
        <w:t>Module 1</w:t>
      </w:r>
      <w:r w:rsidRPr="005A2E6C">
        <w:t xml:space="preserve"> : Introduction au pilotage stratégique dans les secteurs publics</w:t>
      </w:r>
    </w:p>
    <w:p w:rsidR="000D0A46" w:rsidRPr="005A2E6C" w:rsidRDefault="000D0A46" w:rsidP="000D0A46">
      <w:pPr>
        <w:numPr>
          <w:ilvl w:val="0"/>
          <w:numId w:val="9"/>
        </w:numPr>
      </w:pPr>
      <w:r w:rsidRPr="005A2E6C">
        <w:rPr>
          <w:b/>
          <w:bCs/>
        </w:rPr>
        <w:t>Module 2</w:t>
      </w:r>
      <w:r w:rsidRPr="005A2E6C">
        <w:t xml:space="preserve"> : Principes et outils de régulation dans les secteurs stratégiques</w:t>
      </w:r>
    </w:p>
    <w:p w:rsidR="000D0A46" w:rsidRPr="005A2E6C" w:rsidRDefault="000D0A46" w:rsidP="000D0A46">
      <w:pPr>
        <w:numPr>
          <w:ilvl w:val="0"/>
          <w:numId w:val="9"/>
        </w:numPr>
      </w:pPr>
      <w:r w:rsidRPr="005A2E6C">
        <w:rPr>
          <w:b/>
          <w:bCs/>
        </w:rPr>
        <w:t>Module 3</w:t>
      </w:r>
      <w:r w:rsidRPr="005A2E6C">
        <w:t xml:space="preserve"> : Gouvernance des entreprises parapubliques et optimisation des performances</w:t>
      </w:r>
    </w:p>
    <w:p w:rsidR="000D0A46" w:rsidRPr="005A2E6C" w:rsidRDefault="000D0A46" w:rsidP="000D0A46">
      <w:pPr>
        <w:numPr>
          <w:ilvl w:val="0"/>
          <w:numId w:val="9"/>
        </w:numPr>
      </w:pPr>
      <w:r w:rsidRPr="005A2E6C">
        <w:rPr>
          <w:b/>
          <w:bCs/>
        </w:rPr>
        <w:t>Module 4</w:t>
      </w:r>
      <w:r w:rsidRPr="005A2E6C">
        <w:t xml:space="preserve"> : Régulation des secteurs sensibles : énergie, télécommunications, infrastructures</w:t>
      </w:r>
    </w:p>
    <w:p w:rsidR="000D0A46" w:rsidRPr="005A2E6C" w:rsidRDefault="000D0A46" w:rsidP="000D0A46">
      <w:pPr>
        <w:numPr>
          <w:ilvl w:val="0"/>
          <w:numId w:val="9"/>
        </w:numPr>
      </w:pPr>
      <w:r w:rsidRPr="005A2E6C">
        <w:rPr>
          <w:b/>
          <w:bCs/>
        </w:rPr>
        <w:t>Module 5</w:t>
      </w:r>
      <w:r w:rsidRPr="005A2E6C">
        <w:t xml:space="preserve"> : Déploiement de stratégies de gestion des performances sectorielles</w:t>
      </w:r>
    </w:p>
    <w:p w:rsidR="000D0A46" w:rsidRPr="005A2E6C" w:rsidRDefault="000D0A46" w:rsidP="000D0A46">
      <w:pPr>
        <w:rPr>
          <w:b/>
          <w:bCs/>
        </w:rPr>
      </w:pPr>
      <w:r w:rsidRPr="005A2E6C">
        <w:rPr>
          <w:b/>
          <w:bCs/>
        </w:rPr>
        <w:t>5. Méthodes pédagogiques</w:t>
      </w:r>
    </w:p>
    <w:p w:rsidR="000D0A46" w:rsidRPr="005A2E6C" w:rsidRDefault="000D0A46" w:rsidP="000D0A46">
      <w:r w:rsidRPr="005A2E6C">
        <w:lastRenderedPageBreak/>
        <w:t>Cette formation sera axée sur l'action et l'application pratique des concepts clés. Les participants bénéficieront d'une combinaison de :</w:t>
      </w:r>
    </w:p>
    <w:p w:rsidR="000D0A46" w:rsidRPr="005A2E6C" w:rsidRDefault="000D0A46" w:rsidP="000D0A46">
      <w:pPr>
        <w:numPr>
          <w:ilvl w:val="0"/>
          <w:numId w:val="10"/>
        </w:numPr>
      </w:pPr>
      <w:r w:rsidRPr="005A2E6C">
        <w:rPr>
          <w:b/>
          <w:bCs/>
        </w:rPr>
        <w:t>Exposés théoriques</w:t>
      </w:r>
      <w:r w:rsidRPr="005A2E6C">
        <w:t xml:space="preserve"> pour un apport de connaissances conceptuelles</w:t>
      </w:r>
    </w:p>
    <w:p w:rsidR="000D0A46" w:rsidRPr="005A2E6C" w:rsidRDefault="000D0A46" w:rsidP="000D0A46">
      <w:pPr>
        <w:numPr>
          <w:ilvl w:val="0"/>
          <w:numId w:val="10"/>
        </w:numPr>
      </w:pPr>
      <w:r w:rsidRPr="005A2E6C">
        <w:rPr>
          <w:b/>
          <w:bCs/>
        </w:rPr>
        <w:t>Études de cas concrets</w:t>
      </w:r>
      <w:r w:rsidRPr="005A2E6C">
        <w:t xml:space="preserve"> basées sur des expériences de régulation et de pilotage</w:t>
      </w:r>
    </w:p>
    <w:p w:rsidR="000D0A46" w:rsidRPr="005A2E6C" w:rsidRDefault="000D0A46" w:rsidP="000D0A46">
      <w:pPr>
        <w:numPr>
          <w:ilvl w:val="0"/>
          <w:numId w:val="10"/>
        </w:numPr>
      </w:pPr>
      <w:r w:rsidRPr="005A2E6C">
        <w:rPr>
          <w:b/>
          <w:bCs/>
        </w:rPr>
        <w:t>Travaux pratiques</w:t>
      </w:r>
      <w:r w:rsidRPr="005A2E6C">
        <w:t xml:space="preserve"> où les participants travailleront en équipe pour résoudre des problèmes complexes</w:t>
      </w:r>
    </w:p>
    <w:p w:rsidR="000D0A46" w:rsidRPr="005A2E6C" w:rsidRDefault="000D0A46" w:rsidP="000D0A46">
      <w:pPr>
        <w:numPr>
          <w:ilvl w:val="0"/>
          <w:numId w:val="10"/>
        </w:numPr>
      </w:pPr>
      <w:r w:rsidRPr="005A2E6C">
        <w:rPr>
          <w:b/>
          <w:bCs/>
        </w:rPr>
        <w:t>Simulations</w:t>
      </w:r>
      <w:r w:rsidRPr="005A2E6C">
        <w:t xml:space="preserve"> et jeux de rôle pour renforcer les compétences en régulation des secteurs publics</w:t>
      </w:r>
    </w:p>
    <w:p w:rsidR="000D0A46" w:rsidRPr="005A2E6C" w:rsidRDefault="000D0A46" w:rsidP="000D0A46">
      <w:pPr>
        <w:numPr>
          <w:ilvl w:val="0"/>
          <w:numId w:val="10"/>
        </w:numPr>
      </w:pPr>
      <w:r w:rsidRPr="005A2E6C">
        <w:rPr>
          <w:b/>
          <w:bCs/>
        </w:rPr>
        <w:t>Débats et échanges d’expériences</w:t>
      </w:r>
      <w:r w:rsidRPr="005A2E6C">
        <w:t xml:space="preserve"> pour favoriser l’apprentissage collaboratif et le partage de bonnes pratiques</w:t>
      </w:r>
    </w:p>
    <w:p w:rsidR="000D0A46" w:rsidRPr="005A2E6C" w:rsidRDefault="00156AAF" w:rsidP="000D0A46">
      <w:r>
        <w:pict>
          <v:rect id="_x0000_i1026" style="width:0;height:1.5pt" o:hralign="center" o:hrstd="t" o:hr="t" fillcolor="#a0a0a0" stroked="f"/>
        </w:pict>
      </w:r>
    </w:p>
    <w:p w:rsidR="000D0A46" w:rsidRPr="005A2E6C" w:rsidRDefault="000D0A46" w:rsidP="000D0A46">
      <w:pPr>
        <w:rPr>
          <w:b/>
          <w:bCs/>
        </w:rPr>
      </w:pPr>
      <w:r w:rsidRPr="005A2E6C">
        <w:rPr>
          <w:b/>
          <w:bCs/>
        </w:rPr>
        <w:t>6. Durée de la formation</w:t>
      </w:r>
    </w:p>
    <w:p w:rsidR="000D0A46" w:rsidRPr="005A2E6C" w:rsidRDefault="000D0A46" w:rsidP="000D0A46">
      <w:r w:rsidRPr="005A2E6C">
        <w:rPr>
          <w:b/>
          <w:bCs/>
        </w:rPr>
        <w:t>2 semaines</w:t>
      </w:r>
      <w:r w:rsidRPr="005A2E6C">
        <w:t xml:space="preserve"> (14 jours)</w:t>
      </w:r>
    </w:p>
    <w:p w:rsidR="000D0A46" w:rsidRPr="005A2E6C" w:rsidRDefault="00156AAF" w:rsidP="000D0A46">
      <w:r>
        <w:pict>
          <v:rect id="_x0000_i1027" style="width:0;height:1.5pt" o:hralign="center" o:hrstd="t" o:hr="t" fillcolor="#a0a0a0" stroked="f"/>
        </w:pict>
      </w:r>
    </w:p>
    <w:p w:rsidR="000D0A46" w:rsidRPr="005A2E6C" w:rsidRDefault="000D0A46" w:rsidP="000D0A46">
      <w:pPr>
        <w:rPr>
          <w:b/>
          <w:bCs/>
        </w:rPr>
      </w:pPr>
      <w:r w:rsidRPr="005A2E6C">
        <w:rPr>
          <w:b/>
          <w:bCs/>
        </w:rPr>
        <w:t>7. Lieu de la formation</w:t>
      </w:r>
    </w:p>
    <w:p w:rsidR="000D0A46" w:rsidRPr="005A2E6C" w:rsidRDefault="000D0A46" w:rsidP="000D0A46">
      <w:r w:rsidRPr="005A2E6C">
        <w:rPr>
          <w:b/>
          <w:bCs/>
        </w:rPr>
        <w:t>Sénégal</w:t>
      </w:r>
    </w:p>
    <w:p w:rsidR="000D0A46" w:rsidRPr="005A2E6C" w:rsidRDefault="00156AAF" w:rsidP="000D0A46">
      <w:r>
        <w:pict>
          <v:rect id="_x0000_i1028" style="width:0;height:1.5pt" o:hralign="center" o:hrstd="t" o:hr="t" fillcolor="#a0a0a0" stroked="f"/>
        </w:pict>
      </w:r>
    </w:p>
    <w:p w:rsidR="000D0A46" w:rsidRPr="005A2E6C" w:rsidRDefault="000D0A46" w:rsidP="000D0A46">
      <w:pPr>
        <w:rPr>
          <w:b/>
          <w:bCs/>
        </w:rPr>
      </w:pPr>
      <w:r w:rsidRPr="005A2E6C">
        <w:rPr>
          <w:b/>
          <w:bCs/>
        </w:rPr>
        <w:t>8. Frais de participation</w:t>
      </w:r>
    </w:p>
    <w:p w:rsidR="000D0A46" w:rsidRPr="005A2E6C" w:rsidRDefault="000D0A46" w:rsidP="000D0A46">
      <w:r w:rsidRPr="005A2E6C">
        <w:rPr>
          <w:b/>
          <w:bCs/>
        </w:rPr>
        <w:t>3 600 000 FCFA</w:t>
      </w:r>
      <w:r w:rsidRPr="005A2E6C">
        <w:t xml:space="preserve"> (inclut la logistique, kit de formation et un ordinateur portable 15 </w:t>
      </w:r>
      <w:proofErr w:type="gramStart"/>
      <w:r w:rsidRPr="005A2E6C">
        <w:t>pouces</w:t>
      </w:r>
      <w:proofErr w:type="gramEnd"/>
      <w:r w:rsidRPr="005A2E6C">
        <w:t>)</w:t>
      </w:r>
    </w:p>
    <w:p w:rsidR="000D0A46" w:rsidRPr="005A2E6C" w:rsidRDefault="00156AAF" w:rsidP="000D0A46">
      <w:r>
        <w:pict>
          <v:rect id="_x0000_i1029" style="width:0;height:1.5pt" o:hralign="center" o:hrstd="t" o:hr="t" fillcolor="#a0a0a0" stroked="f"/>
        </w:pict>
      </w:r>
    </w:p>
    <w:p w:rsidR="000D0A46" w:rsidRPr="005A2E6C" w:rsidRDefault="000D0A46" w:rsidP="000D0A46">
      <w:pPr>
        <w:rPr>
          <w:b/>
          <w:bCs/>
        </w:rPr>
      </w:pPr>
      <w:r w:rsidRPr="005A2E6C">
        <w:rPr>
          <w:b/>
          <w:bCs/>
        </w:rPr>
        <w:t>9. Modalités d’évaluation</w:t>
      </w:r>
    </w:p>
    <w:p w:rsidR="000D0A46" w:rsidRPr="005A2E6C" w:rsidRDefault="000D0A46" w:rsidP="000D0A46">
      <w:pPr>
        <w:numPr>
          <w:ilvl w:val="0"/>
          <w:numId w:val="11"/>
        </w:numPr>
      </w:pPr>
      <w:r w:rsidRPr="005A2E6C">
        <w:t>Évaluations continues tout au long de la formation</w:t>
      </w:r>
    </w:p>
    <w:p w:rsidR="000D0A46" w:rsidRPr="005A2E6C" w:rsidRDefault="000D0A46" w:rsidP="000D0A46">
      <w:pPr>
        <w:numPr>
          <w:ilvl w:val="0"/>
          <w:numId w:val="11"/>
        </w:numPr>
      </w:pPr>
      <w:r w:rsidRPr="005A2E6C">
        <w:t>Études de cas sur des stratégies de pilotage</w:t>
      </w:r>
    </w:p>
    <w:p w:rsidR="000D0A46" w:rsidRPr="005A2E6C" w:rsidRDefault="000D0A46" w:rsidP="000D0A46">
      <w:pPr>
        <w:numPr>
          <w:ilvl w:val="0"/>
          <w:numId w:val="11"/>
        </w:numPr>
      </w:pPr>
      <w:r w:rsidRPr="005A2E6C">
        <w:t>Présentation finale d’un projet de régulation sectorielle</w:t>
      </w:r>
    </w:p>
    <w:p w:rsidR="000D0A46" w:rsidRPr="005A2E6C" w:rsidRDefault="00156AAF" w:rsidP="000D0A46">
      <w:r>
        <w:pict>
          <v:rect id="_x0000_i1030" style="width:0;height:1.5pt" o:hralign="center" o:hrstd="t" o:hr="t" fillcolor="#a0a0a0" stroked="f"/>
        </w:pict>
      </w:r>
    </w:p>
    <w:p w:rsidR="000D0A46" w:rsidRPr="005A2E6C" w:rsidRDefault="000D0A46" w:rsidP="000D0A46">
      <w:pPr>
        <w:rPr>
          <w:b/>
          <w:bCs/>
        </w:rPr>
      </w:pPr>
      <w:r w:rsidRPr="005A2E6C">
        <w:rPr>
          <w:b/>
          <w:bCs/>
        </w:rPr>
        <w:t>10. Formateurs</w:t>
      </w:r>
    </w:p>
    <w:p w:rsidR="000D0A46" w:rsidRPr="005A2E6C" w:rsidRDefault="000D0A46" w:rsidP="000D0A46">
      <w:pPr>
        <w:numPr>
          <w:ilvl w:val="0"/>
          <w:numId w:val="12"/>
        </w:numPr>
      </w:pPr>
      <w:r w:rsidRPr="005A2E6C">
        <w:rPr>
          <w:b/>
          <w:bCs/>
        </w:rPr>
        <w:t>Nom du formateur 1</w:t>
      </w:r>
      <w:r w:rsidRPr="005A2E6C">
        <w:t xml:space="preserve"> : Expert en pilotage stratégique dans le secteur public</w:t>
      </w:r>
    </w:p>
    <w:p w:rsidR="000D0A46" w:rsidRPr="005A2E6C" w:rsidRDefault="000D0A46" w:rsidP="000D0A46">
      <w:pPr>
        <w:numPr>
          <w:ilvl w:val="0"/>
          <w:numId w:val="12"/>
        </w:numPr>
      </w:pPr>
      <w:r w:rsidRPr="005A2E6C">
        <w:rPr>
          <w:b/>
          <w:bCs/>
        </w:rPr>
        <w:t>Nom du formateur 2</w:t>
      </w:r>
      <w:r w:rsidRPr="005A2E6C">
        <w:t xml:space="preserve"> : Consultant en régulation des marchés stratégiques</w:t>
      </w:r>
    </w:p>
    <w:p w:rsidR="000D0A46" w:rsidRPr="005A2E6C" w:rsidRDefault="00156AAF" w:rsidP="000D0A46">
      <w:r>
        <w:pict>
          <v:rect id="_x0000_i1031" style="width:0;height:1.5pt" o:hralign="center" o:hrstd="t" o:hr="t" fillcolor="#a0a0a0" stroked="f"/>
        </w:pict>
      </w:r>
    </w:p>
    <w:p w:rsidR="000D0A46" w:rsidRPr="005A2E6C" w:rsidRDefault="000D0A46" w:rsidP="000D0A46">
      <w:pPr>
        <w:rPr>
          <w:b/>
          <w:bCs/>
        </w:rPr>
      </w:pPr>
      <w:r w:rsidRPr="005A2E6C">
        <w:rPr>
          <w:b/>
          <w:bCs/>
        </w:rPr>
        <w:t>11. Certificat et validation</w:t>
      </w:r>
    </w:p>
    <w:p w:rsidR="000D0A46" w:rsidRPr="005A2E6C" w:rsidRDefault="000D0A46" w:rsidP="000D0A46">
      <w:r w:rsidRPr="005A2E6C">
        <w:t xml:space="preserve">À l'issue de la formation, les participants recevront un certificat de participation délivré par </w:t>
      </w:r>
      <w:r w:rsidR="00156AAF">
        <w:t>IFE Group</w:t>
      </w:r>
      <w:bookmarkStart w:id="1" w:name="_GoBack"/>
      <w:bookmarkEnd w:id="1"/>
      <w:r w:rsidRPr="005A2E6C">
        <w:t>.</w:t>
      </w:r>
    </w:p>
    <w:p w:rsidR="00732295" w:rsidRPr="000D0A46" w:rsidRDefault="00732295" w:rsidP="000D0A46"/>
    <w:sectPr w:rsidR="00732295" w:rsidRPr="000D0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6D8D"/>
    <w:multiLevelType w:val="multilevel"/>
    <w:tmpl w:val="2D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3114B"/>
    <w:multiLevelType w:val="multilevel"/>
    <w:tmpl w:val="16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21B25"/>
    <w:multiLevelType w:val="multilevel"/>
    <w:tmpl w:val="341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002905"/>
    <w:multiLevelType w:val="multilevel"/>
    <w:tmpl w:val="E26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B10A57"/>
    <w:multiLevelType w:val="multilevel"/>
    <w:tmpl w:val="E03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B5647B"/>
    <w:multiLevelType w:val="multilevel"/>
    <w:tmpl w:val="329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8F53F3"/>
    <w:multiLevelType w:val="multilevel"/>
    <w:tmpl w:val="A86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8B7BD8"/>
    <w:multiLevelType w:val="multilevel"/>
    <w:tmpl w:val="E0C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C1A3E"/>
    <w:multiLevelType w:val="multilevel"/>
    <w:tmpl w:val="CC3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33456"/>
    <w:multiLevelType w:val="multilevel"/>
    <w:tmpl w:val="F30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457B62"/>
    <w:multiLevelType w:val="multilevel"/>
    <w:tmpl w:val="4C8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783792"/>
    <w:multiLevelType w:val="multilevel"/>
    <w:tmpl w:val="2B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8"/>
  </w:num>
  <w:num w:numId="4">
    <w:abstractNumId w:val="1"/>
  </w:num>
  <w:num w:numId="5">
    <w:abstractNumId w:val="2"/>
  </w:num>
  <w:num w:numId="6">
    <w:abstractNumId w:val="11"/>
  </w:num>
  <w:num w:numId="7">
    <w:abstractNumId w:val="5"/>
  </w:num>
  <w:num w:numId="8">
    <w:abstractNumId w:val="6"/>
  </w:num>
  <w:num w:numId="9">
    <w:abstractNumId w:val="1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D0A46"/>
    <w:rsid w:val="00156AAF"/>
    <w:rsid w:val="00732295"/>
    <w:rsid w:val="00C52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ocument_Microsoft_Word1.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3068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2024-10-22T12:46:00Z</dcterms:created>
  <dcterms:modified xsi:type="dcterms:W3CDTF">2024-11-05T15:41:00Z</dcterms:modified>
</cp:coreProperties>
</file>