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AC" w:rsidRDefault="00190EAC" w:rsidP="00190EAC">
      <w:pPr>
        <w:jc w:val="center"/>
        <w:rPr>
          <w:rFonts w:ascii="Aptos" w:eastAsia="Aptos" w:hAnsi="Aptos" w:cs="Times New Roman"/>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C22771" w:rsidRPr="00190EAC" w:rsidRDefault="00C22771" w:rsidP="00190EAC">
      <w:pPr>
        <w:jc w:val="center"/>
        <w:rPr>
          <w:rFonts w:ascii="Aptos" w:eastAsia="Aptos" w:hAnsi="Aptos" w:cs="Times New Roman"/>
          <w:b/>
          <w:bCs/>
          <w:sz w:val="26"/>
        </w:rPr>
      </w:pPr>
      <w:r w:rsidRPr="00190EAC">
        <w:rPr>
          <w:rFonts w:ascii="Aptos" w:eastAsia="Aptos" w:hAnsi="Aptos" w:cs="Times New Roman"/>
          <w:b/>
          <w:bCs/>
          <w:sz w:val="26"/>
        </w:rPr>
        <w:t>Thème de Formation : Gestion financière des entreprises publiques : contrôle, reddition des comptes et gestion des risques budgétaires</w:t>
      </w:r>
    </w:p>
    <w:p w:rsidR="00C22771" w:rsidRPr="00C22771" w:rsidRDefault="00190EAC" w:rsidP="00C22771">
      <w:pPr>
        <w:rPr>
          <w:rFonts w:ascii="Aptos" w:eastAsia="Aptos" w:hAnsi="Aptos" w:cs="Times New Roman"/>
        </w:rPr>
      </w:pPr>
      <w:r>
        <w:rPr>
          <w:rFonts w:ascii="Aptos" w:eastAsia="Aptos" w:hAnsi="Aptos" w:cs="Times New Roman"/>
        </w:rPr>
        <w:pict>
          <v:rect id="_x0000_i1025"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1. Contexte et justification de la formation</w:t>
      </w:r>
    </w:p>
    <w:p w:rsidR="00C22771" w:rsidRPr="00190EAC" w:rsidRDefault="00C22771" w:rsidP="00C22771">
      <w:pPr>
        <w:rPr>
          <w:rFonts w:ascii="Aptos" w:eastAsia="Aptos" w:hAnsi="Aptos" w:cs="Times New Roman"/>
          <w:sz w:val="20"/>
        </w:rPr>
      </w:pPr>
      <w:r w:rsidRPr="00190EAC">
        <w:rPr>
          <w:rFonts w:ascii="Aptos" w:eastAsia="Aptos" w:hAnsi="Aptos" w:cs="Times New Roman"/>
          <w:sz w:val="20"/>
        </w:rPr>
        <w:t>Les entreprises publiques sont confrontées à des défis importants en matière de gestion financière, notamment en ce qui concerne le contrôle interne, la reddition des comptes et la gestion des risques budgétaires. Une gestion rigoureuse est essentielle pour garantir la viabilité financière de ces entreprises, tout en respectant les normes de transparence et de bonne gouvernance. Cette formation mettra l'accent sur les pratiques de contrôle et de gestion financière, en tenant compte des spécificités des entreprises publiques et des exigences des parties prenantes (gouvernements, bailleurs de fonds, etc.).</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26"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2. Public(s) cible(s)</w:t>
      </w:r>
    </w:p>
    <w:p w:rsidR="00C22771" w:rsidRPr="00190EAC" w:rsidRDefault="00C22771" w:rsidP="00C22771">
      <w:pPr>
        <w:numPr>
          <w:ilvl w:val="0"/>
          <w:numId w:val="19"/>
        </w:numPr>
        <w:rPr>
          <w:rFonts w:ascii="Aptos" w:eastAsia="Aptos" w:hAnsi="Aptos" w:cs="Times New Roman"/>
          <w:sz w:val="20"/>
        </w:rPr>
      </w:pPr>
      <w:r w:rsidRPr="00190EAC">
        <w:rPr>
          <w:rFonts w:ascii="Aptos" w:eastAsia="Aptos" w:hAnsi="Aptos" w:cs="Times New Roman"/>
          <w:sz w:val="20"/>
        </w:rPr>
        <w:t>Directeurs financiers et responsables budgétaires des entreprises publiques</w:t>
      </w:r>
    </w:p>
    <w:p w:rsidR="00C22771" w:rsidRPr="00190EAC" w:rsidRDefault="00C22771" w:rsidP="00C22771">
      <w:pPr>
        <w:numPr>
          <w:ilvl w:val="0"/>
          <w:numId w:val="19"/>
        </w:numPr>
        <w:rPr>
          <w:rFonts w:ascii="Aptos" w:eastAsia="Aptos" w:hAnsi="Aptos" w:cs="Times New Roman"/>
          <w:sz w:val="20"/>
        </w:rPr>
      </w:pPr>
      <w:r w:rsidRPr="00190EAC">
        <w:rPr>
          <w:rFonts w:ascii="Aptos" w:eastAsia="Aptos" w:hAnsi="Aptos" w:cs="Times New Roman"/>
          <w:sz w:val="20"/>
        </w:rPr>
        <w:t>Auditeurs internes et contrôleurs financiers</w:t>
      </w:r>
    </w:p>
    <w:p w:rsidR="00C22771" w:rsidRPr="00190EAC" w:rsidRDefault="00C22771" w:rsidP="00C22771">
      <w:pPr>
        <w:numPr>
          <w:ilvl w:val="0"/>
          <w:numId w:val="19"/>
        </w:numPr>
        <w:rPr>
          <w:rFonts w:ascii="Aptos" w:eastAsia="Aptos" w:hAnsi="Aptos" w:cs="Times New Roman"/>
          <w:sz w:val="20"/>
        </w:rPr>
      </w:pPr>
      <w:r w:rsidRPr="00190EAC">
        <w:rPr>
          <w:rFonts w:ascii="Aptos" w:eastAsia="Aptos" w:hAnsi="Aptos" w:cs="Times New Roman"/>
          <w:sz w:val="20"/>
        </w:rPr>
        <w:t>Gestionnaires des risques financiers dans le secteur public</w:t>
      </w:r>
    </w:p>
    <w:p w:rsidR="00C22771" w:rsidRPr="00190EAC" w:rsidRDefault="00C22771" w:rsidP="00C22771">
      <w:pPr>
        <w:numPr>
          <w:ilvl w:val="0"/>
          <w:numId w:val="19"/>
        </w:numPr>
        <w:rPr>
          <w:rFonts w:ascii="Aptos" w:eastAsia="Aptos" w:hAnsi="Aptos" w:cs="Times New Roman"/>
          <w:sz w:val="20"/>
        </w:rPr>
      </w:pPr>
      <w:r w:rsidRPr="00190EAC">
        <w:rPr>
          <w:rFonts w:ascii="Aptos" w:eastAsia="Aptos" w:hAnsi="Aptos" w:cs="Times New Roman"/>
          <w:sz w:val="20"/>
        </w:rPr>
        <w:t>Consultants en gestion financière publique</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27"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3. Objectifs de la formation</w:t>
      </w:r>
    </w:p>
    <w:p w:rsidR="00C22771" w:rsidRPr="00190EAC" w:rsidRDefault="00C22771" w:rsidP="00C22771">
      <w:pPr>
        <w:rPr>
          <w:rFonts w:ascii="Aptos" w:eastAsia="Aptos" w:hAnsi="Aptos" w:cs="Times New Roman"/>
          <w:sz w:val="20"/>
        </w:rPr>
      </w:pPr>
      <w:r w:rsidRPr="00190EAC">
        <w:rPr>
          <w:rFonts w:ascii="Aptos" w:eastAsia="Aptos" w:hAnsi="Aptos" w:cs="Times New Roman"/>
          <w:b/>
          <w:bCs/>
          <w:sz w:val="20"/>
        </w:rPr>
        <w:t>3.1. Objectif général</w:t>
      </w:r>
      <w:r w:rsidRPr="00190EAC">
        <w:rPr>
          <w:rFonts w:ascii="Aptos" w:eastAsia="Aptos" w:hAnsi="Aptos" w:cs="Times New Roman"/>
          <w:sz w:val="20"/>
        </w:rPr>
        <w:br/>
        <w:t>Renforcer les capacités des participants en matière de contrôle financier, de reddition des comptes et de gestion des risques budgétaires au sein des entreprises publiques.</w:t>
      </w:r>
    </w:p>
    <w:p w:rsidR="00C22771" w:rsidRPr="00190EAC" w:rsidRDefault="00C22771" w:rsidP="00C22771">
      <w:pPr>
        <w:rPr>
          <w:rFonts w:ascii="Aptos" w:eastAsia="Aptos" w:hAnsi="Aptos" w:cs="Times New Roman"/>
          <w:sz w:val="20"/>
        </w:rPr>
      </w:pPr>
      <w:r w:rsidRPr="00190EAC">
        <w:rPr>
          <w:rFonts w:ascii="Aptos" w:eastAsia="Aptos" w:hAnsi="Aptos" w:cs="Times New Roman"/>
          <w:b/>
          <w:bCs/>
          <w:sz w:val="20"/>
        </w:rPr>
        <w:t>3.2. Objectifs spécifiques</w:t>
      </w:r>
      <w:r w:rsidRPr="00190EAC">
        <w:rPr>
          <w:rFonts w:ascii="Aptos" w:eastAsia="Aptos" w:hAnsi="Aptos" w:cs="Times New Roman"/>
          <w:sz w:val="20"/>
        </w:rPr>
        <w:br/>
        <w:t>À l'issue de cette formation, les participants seront capables de :</w:t>
      </w:r>
    </w:p>
    <w:p w:rsidR="00C22771" w:rsidRPr="00190EAC" w:rsidRDefault="00C22771" w:rsidP="00C22771">
      <w:pPr>
        <w:numPr>
          <w:ilvl w:val="0"/>
          <w:numId w:val="20"/>
        </w:numPr>
        <w:rPr>
          <w:rFonts w:ascii="Aptos" w:eastAsia="Aptos" w:hAnsi="Aptos" w:cs="Times New Roman"/>
          <w:sz w:val="20"/>
        </w:rPr>
      </w:pPr>
      <w:r w:rsidRPr="00190EAC">
        <w:rPr>
          <w:rFonts w:ascii="Aptos" w:eastAsia="Aptos" w:hAnsi="Aptos" w:cs="Times New Roman"/>
          <w:sz w:val="20"/>
        </w:rPr>
        <w:t>Mettre en œuvre des techniques efficaces de contrôle financier interne</w:t>
      </w:r>
    </w:p>
    <w:p w:rsidR="00C22771" w:rsidRPr="00190EAC" w:rsidRDefault="00C22771" w:rsidP="00C22771">
      <w:pPr>
        <w:numPr>
          <w:ilvl w:val="0"/>
          <w:numId w:val="20"/>
        </w:numPr>
        <w:rPr>
          <w:rFonts w:ascii="Aptos" w:eastAsia="Aptos" w:hAnsi="Aptos" w:cs="Times New Roman"/>
          <w:sz w:val="20"/>
        </w:rPr>
      </w:pPr>
      <w:r w:rsidRPr="00190EAC">
        <w:rPr>
          <w:rFonts w:ascii="Aptos" w:eastAsia="Aptos" w:hAnsi="Aptos" w:cs="Times New Roman"/>
          <w:sz w:val="20"/>
        </w:rPr>
        <w:t>Élaborer des stratégies de reddition des comptes pour assurer la transparence</w:t>
      </w:r>
    </w:p>
    <w:p w:rsidR="00C22771" w:rsidRPr="00190EAC" w:rsidRDefault="00C22771" w:rsidP="00C22771">
      <w:pPr>
        <w:numPr>
          <w:ilvl w:val="0"/>
          <w:numId w:val="20"/>
        </w:numPr>
        <w:rPr>
          <w:rFonts w:ascii="Aptos" w:eastAsia="Aptos" w:hAnsi="Aptos" w:cs="Times New Roman"/>
          <w:sz w:val="20"/>
        </w:rPr>
      </w:pPr>
      <w:r w:rsidRPr="00190EAC">
        <w:rPr>
          <w:rFonts w:ascii="Aptos" w:eastAsia="Aptos" w:hAnsi="Aptos" w:cs="Times New Roman"/>
          <w:sz w:val="20"/>
        </w:rPr>
        <w:t>Identifier et gérer les risques budgétaires dans les entreprises publiques</w:t>
      </w:r>
    </w:p>
    <w:p w:rsidR="00C22771" w:rsidRPr="00190EAC" w:rsidRDefault="00C22771" w:rsidP="00C22771">
      <w:pPr>
        <w:numPr>
          <w:ilvl w:val="0"/>
          <w:numId w:val="20"/>
        </w:numPr>
        <w:rPr>
          <w:rFonts w:ascii="Aptos" w:eastAsia="Aptos" w:hAnsi="Aptos" w:cs="Times New Roman"/>
          <w:sz w:val="20"/>
        </w:rPr>
      </w:pPr>
      <w:r w:rsidRPr="00190EAC">
        <w:rPr>
          <w:rFonts w:ascii="Aptos" w:eastAsia="Aptos" w:hAnsi="Aptos" w:cs="Times New Roman"/>
          <w:sz w:val="20"/>
        </w:rPr>
        <w:t>Utiliser des outils de gestion budgétaire pour optimiser les résultats financiers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28"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4. Contenu de la formation</w:t>
      </w:r>
    </w:p>
    <w:p w:rsidR="00C22771" w:rsidRPr="00190EAC" w:rsidRDefault="00C22771" w:rsidP="00C22771">
      <w:pPr>
        <w:numPr>
          <w:ilvl w:val="0"/>
          <w:numId w:val="21"/>
        </w:numPr>
        <w:rPr>
          <w:rFonts w:ascii="Aptos" w:eastAsia="Aptos" w:hAnsi="Aptos" w:cs="Times New Roman"/>
          <w:sz w:val="20"/>
        </w:rPr>
      </w:pPr>
      <w:r w:rsidRPr="00190EAC">
        <w:rPr>
          <w:rFonts w:ascii="Aptos" w:eastAsia="Aptos" w:hAnsi="Aptos" w:cs="Times New Roman"/>
          <w:b/>
          <w:bCs/>
          <w:sz w:val="20"/>
        </w:rPr>
        <w:t>Module 1</w:t>
      </w:r>
      <w:r w:rsidRPr="00190EAC">
        <w:rPr>
          <w:rFonts w:ascii="Aptos" w:eastAsia="Aptos" w:hAnsi="Aptos" w:cs="Times New Roman"/>
          <w:sz w:val="20"/>
        </w:rPr>
        <w:t xml:space="preserve"> : Principes de la gestion financière des entreprises publiques</w:t>
      </w:r>
    </w:p>
    <w:p w:rsidR="00C22771" w:rsidRPr="00190EAC" w:rsidRDefault="00C22771" w:rsidP="00C22771">
      <w:pPr>
        <w:numPr>
          <w:ilvl w:val="0"/>
          <w:numId w:val="21"/>
        </w:numPr>
        <w:rPr>
          <w:rFonts w:ascii="Aptos" w:eastAsia="Aptos" w:hAnsi="Aptos" w:cs="Times New Roman"/>
          <w:sz w:val="20"/>
        </w:rPr>
      </w:pPr>
      <w:r w:rsidRPr="00190EAC">
        <w:rPr>
          <w:rFonts w:ascii="Aptos" w:eastAsia="Aptos" w:hAnsi="Aptos" w:cs="Times New Roman"/>
          <w:b/>
          <w:bCs/>
          <w:sz w:val="20"/>
        </w:rPr>
        <w:lastRenderedPageBreak/>
        <w:t>Module 2</w:t>
      </w:r>
      <w:r w:rsidRPr="00190EAC">
        <w:rPr>
          <w:rFonts w:ascii="Aptos" w:eastAsia="Aptos" w:hAnsi="Aptos" w:cs="Times New Roman"/>
          <w:sz w:val="20"/>
        </w:rPr>
        <w:t xml:space="preserve"> : Contrôle interne et audit financier dans les entreprises publiques</w:t>
      </w:r>
    </w:p>
    <w:p w:rsidR="00C22771" w:rsidRPr="00190EAC" w:rsidRDefault="00C22771" w:rsidP="00C22771">
      <w:pPr>
        <w:numPr>
          <w:ilvl w:val="0"/>
          <w:numId w:val="21"/>
        </w:numPr>
        <w:rPr>
          <w:rFonts w:ascii="Aptos" w:eastAsia="Aptos" w:hAnsi="Aptos" w:cs="Times New Roman"/>
          <w:sz w:val="20"/>
        </w:rPr>
      </w:pPr>
      <w:r w:rsidRPr="00190EAC">
        <w:rPr>
          <w:rFonts w:ascii="Aptos" w:eastAsia="Aptos" w:hAnsi="Aptos" w:cs="Times New Roman"/>
          <w:b/>
          <w:bCs/>
          <w:sz w:val="20"/>
        </w:rPr>
        <w:t>Module 3</w:t>
      </w:r>
      <w:r w:rsidRPr="00190EAC">
        <w:rPr>
          <w:rFonts w:ascii="Aptos" w:eastAsia="Aptos" w:hAnsi="Aptos" w:cs="Times New Roman"/>
          <w:sz w:val="20"/>
        </w:rPr>
        <w:t xml:space="preserve"> : Gestion des risques budgétaires et viabilité financière</w:t>
      </w:r>
    </w:p>
    <w:p w:rsidR="00C22771" w:rsidRPr="00190EAC" w:rsidRDefault="00C22771" w:rsidP="00C22771">
      <w:pPr>
        <w:numPr>
          <w:ilvl w:val="0"/>
          <w:numId w:val="21"/>
        </w:numPr>
        <w:rPr>
          <w:rFonts w:ascii="Aptos" w:eastAsia="Aptos" w:hAnsi="Aptos" w:cs="Times New Roman"/>
          <w:sz w:val="20"/>
        </w:rPr>
      </w:pPr>
      <w:r w:rsidRPr="00190EAC">
        <w:rPr>
          <w:rFonts w:ascii="Aptos" w:eastAsia="Aptos" w:hAnsi="Aptos" w:cs="Times New Roman"/>
          <w:b/>
          <w:bCs/>
          <w:sz w:val="20"/>
        </w:rPr>
        <w:t>Module 4</w:t>
      </w:r>
      <w:r w:rsidRPr="00190EAC">
        <w:rPr>
          <w:rFonts w:ascii="Aptos" w:eastAsia="Aptos" w:hAnsi="Aptos" w:cs="Times New Roman"/>
          <w:sz w:val="20"/>
        </w:rPr>
        <w:t xml:space="preserve"> : Stratégies de reddition des comptes et transparence</w:t>
      </w:r>
    </w:p>
    <w:p w:rsidR="00C22771" w:rsidRPr="00190EAC" w:rsidRDefault="00C22771" w:rsidP="00C22771">
      <w:pPr>
        <w:numPr>
          <w:ilvl w:val="0"/>
          <w:numId w:val="21"/>
        </w:numPr>
        <w:rPr>
          <w:rFonts w:ascii="Aptos" w:eastAsia="Aptos" w:hAnsi="Aptos" w:cs="Times New Roman"/>
          <w:sz w:val="20"/>
        </w:rPr>
      </w:pPr>
      <w:r w:rsidRPr="00190EAC">
        <w:rPr>
          <w:rFonts w:ascii="Aptos" w:eastAsia="Aptos" w:hAnsi="Aptos" w:cs="Times New Roman"/>
          <w:b/>
          <w:bCs/>
          <w:sz w:val="20"/>
        </w:rPr>
        <w:t>Module 5</w:t>
      </w:r>
      <w:r w:rsidRPr="00190EAC">
        <w:rPr>
          <w:rFonts w:ascii="Aptos" w:eastAsia="Aptos" w:hAnsi="Aptos" w:cs="Times New Roman"/>
          <w:sz w:val="20"/>
        </w:rPr>
        <w:t xml:space="preserve"> : Optimisation des performances financières dans les entreprises publiques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29"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5. Méthodes pédagogiques</w:t>
      </w:r>
    </w:p>
    <w:p w:rsidR="00C22771" w:rsidRPr="00190EAC" w:rsidRDefault="00C22771" w:rsidP="00C22771">
      <w:pPr>
        <w:rPr>
          <w:rFonts w:ascii="Aptos" w:eastAsia="Aptos" w:hAnsi="Aptos" w:cs="Times New Roman"/>
          <w:sz w:val="20"/>
        </w:rPr>
      </w:pPr>
      <w:r w:rsidRPr="00190EAC">
        <w:rPr>
          <w:rFonts w:ascii="Aptos" w:eastAsia="Aptos" w:hAnsi="Aptos" w:cs="Times New Roman"/>
          <w:sz w:val="20"/>
        </w:rPr>
        <w:t>La formation mettra l'accent sur des techniques pratiques et l’analyse de cas concrets :</w:t>
      </w:r>
    </w:p>
    <w:p w:rsidR="00C22771" w:rsidRPr="00190EAC" w:rsidRDefault="00C22771" w:rsidP="00C22771">
      <w:pPr>
        <w:numPr>
          <w:ilvl w:val="0"/>
          <w:numId w:val="22"/>
        </w:numPr>
        <w:rPr>
          <w:rFonts w:ascii="Aptos" w:eastAsia="Aptos" w:hAnsi="Aptos" w:cs="Times New Roman"/>
          <w:sz w:val="20"/>
        </w:rPr>
      </w:pPr>
      <w:r w:rsidRPr="00190EAC">
        <w:rPr>
          <w:rFonts w:ascii="Aptos" w:eastAsia="Aptos" w:hAnsi="Aptos" w:cs="Times New Roman"/>
          <w:b/>
          <w:bCs/>
          <w:sz w:val="20"/>
        </w:rPr>
        <w:t>Exposés théoriques</w:t>
      </w:r>
      <w:r w:rsidRPr="00190EAC">
        <w:rPr>
          <w:rFonts w:ascii="Aptos" w:eastAsia="Aptos" w:hAnsi="Aptos" w:cs="Times New Roman"/>
          <w:sz w:val="20"/>
        </w:rPr>
        <w:t xml:space="preserve"> pour poser les fondations conceptuelles</w:t>
      </w:r>
    </w:p>
    <w:p w:rsidR="00C22771" w:rsidRPr="00190EAC" w:rsidRDefault="00C22771" w:rsidP="00C22771">
      <w:pPr>
        <w:numPr>
          <w:ilvl w:val="0"/>
          <w:numId w:val="22"/>
        </w:numPr>
        <w:rPr>
          <w:rFonts w:ascii="Aptos" w:eastAsia="Aptos" w:hAnsi="Aptos" w:cs="Times New Roman"/>
          <w:sz w:val="20"/>
        </w:rPr>
      </w:pPr>
      <w:r w:rsidRPr="00190EAC">
        <w:rPr>
          <w:rFonts w:ascii="Aptos" w:eastAsia="Aptos" w:hAnsi="Aptos" w:cs="Times New Roman"/>
          <w:b/>
          <w:bCs/>
          <w:sz w:val="20"/>
        </w:rPr>
        <w:t>Études de cas pratiques</w:t>
      </w:r>
      <w:r w:rsidRPr="00190EAC">
        <w:rPr>
          <w:rFonts w:ascii="Aptos" w:eastAsia="Aptos" w:hAnsi="Aptos" w:cs="Times New Roman"/>
          <w:sz w:val="20"/>
        </w:rPr>
        <w:t xml:space="preserve"> pour analyser des situations financières réelles</w:t>
      </w:r>
    </w:p>
    <w:p w:rsidR="00C22771" w:rsidRPr="00190EAC" w:rsidRDefault="00C22771" w:rsidP="00C22771">
      <w:pPr>
        <w:numPr>
          <w:ilvl w:val="0"/>
          <w:numId w:val="22"/>
        </w:numPr>
        <w:rPr>
          <w:rFonts w:ascii="Aptos" w:eastAsia="Aptos" w:hAnsi="Aptos" w:cs="Times New Roman"/>
          <w:sz w:val="20"/>
        </w:rPr>
      </w:pPr>
      <w:r w:rsidRPr="00190EAC">
        <w:rPr>
          <w:rFonts w:ascii="Aptos" w:eastAsia="Aptos" w:hAnsi="Aptos" w:cs="Times New Roman"/>
          <w:b/>
          <w:bCs/>
          <w:sz w:val="20"/>
        </w:rPr>
        <w:t>Travaux pratiques</w:t>
      </w:r>
      <w:r w:rsidRPr="00190EAC">
        <w:rPr>
          <w:rFonts w:ascii="Aptos" w:eastAsia="Aptos" w:hAnsi="Aptos" w:cs="Times New Roman"/>
          <w:sz w:val="20"/>
        </w:rPr>
        <w:t xml:space="preserve"> sur la gestion budgétaire et l’élaboration des stratégies financières</w:t>
      </w:r>
    </w:p>
    <w:p w:rsidR="00C22771" w:rsidRPr="00190EAC" w:rsidRDefault="00C22771" w:rsidP="00C22771">
      <w:pPr>
        <w:numPr>
          <w:ilvl w:val="0"/>
          <w:numId w:val="22"/>
        </w:numPr>
        <w:rPr>
          <w:rFonts w:ascii="Aptos" w:eastAsia="Aptos" w:hAnsi="Aptos" w:cs="Times New Roman"/>
          <w:sz w:val="20"/>
        </w:rPr>
      </w:pPr>
      <w:r w:rsidRPr="00190EAC">
        <w:rPr>
          <w:rFonts w:ascii="Aptos" w:eastAsia="Aptos" w:hAnsi="Aptos" w:cs="Times New Roman"/>
          <w:b/>
          <w:bCs/>
          <w:sz w:val="20"/>
        </w:rPr>
        <w:t>Simulations</w:t>
      </w:r>
      <w:r w:rsidRPr="00190EAC">
        <w:rPr>
          <w:rFonts w:ascii="Aptos" w:eastAsia="Aptos" w:hAnsi="Aptos" w:cs="Times New Roman"/>
          <w:sz w:val="20"/>
        </w:rPr>
        <w:t xml:space="preserve"> pour tester des solutions innovantes en matière de gestion des risques financiers</w:t>
      </w:r>
    </w:p>
    <w:p w:rsidR="00C22771" w:rsidRPr="00190EAC" w:rsidRDefault="00C22771" w:rsidP="00C22771">
      <w:pPr>
        <w:numPr>
          <w:ilvl w:val="0"/>
          <w:numId w:val="22"/>
        </w:numPr>
        <w:rPr>
          <w:rFonts w:ascii="Aptos" w:eastAsia="Aptos" w:hAnsi="Aptos" w:cs="Times New Roman"/>
          <w:sz w:val="20"/>
        </w:rPr>
      </w:pPr>
      <w:r w:rsidRPr="00190EAC">
        <w:rPr>
          <w:rFonts w:ascii="Aptos" w:eastAsia="Aptos" w:hAnsi="Aptos" w:cs="Times New Roman"/>
          <w:b/>
          <w:bCs/>
          <w:sz w:val="20"/>
        </w:rPr>
        <w:t>Débats et échanges d’expériences</w:t>
      </w:r>
      <w:r w:rsidRPr="00190EAC">
        <w:rPr>
          <w:rFonts w:ascii="Aptos" w:eastAsia="Aptos" w:hAnsi="Aptos" w:cs="Times New Roman"/>
          <w:sz w:val="20"/>
        </w:rPr>
        <w:t xml:space="preserve"> pour partager les bonnes pratiques entre les participants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30"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6. Durée de la formation</w:t>
      </w:r>
    </w:p>
    <w:p w:rsidR="00C22771" w:rsidRPr="00190EAC" w:rsidRDefault="00C22771" w:rsidP="00C22771">
      <w:pPr>
        <w:rPr>
          <w:rFonts w:ascii="Aptos" w:eastAsia="Aptos" w:hAnsi="Aptos" w:cs="Times New Roman"/>
          <w:sz w:val="20"/>
        </w:rPr>
      </w:pPr>
      <w:r w:rsidRPr="00190EAC">
        <w:rPr>
          <w:rFonts w:ascii="Aptos" w:eastAsia="Aptos" w:hAnsi="Aptos" w:cs="Times New Roman"/>
          <w:b/>
          <w:bCs/>
          <w:sz w:val="20"/>
        </w:rPr>
        <w:t>2 semaines</w:t>
      </w:r>
      <w:r w:rsidRPr="00190EAC">
        <w:rPr>
          <w:rFonts w:ascii="Aptos" w:eastAsia="Aptos" w:hAnsi="Aptos" w:cs="Times New Roman"/>
          <w:sz w:val="20"/>
        </w:rPr>
        <w:t xml:space="preserve"> (14 jours)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31"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7. Lieu de la formation</w:t>
      </w:r>
    </w:p>
    <w:p w:rsidR="00C22771" w:rsidRPr="00190EAC" w:rsidRDefault="00C22771" w:rsidP="00C22771">
      <w:pPr>
        <w:rPr>
          <w:rFonts w:ascii="Aptos" w:eastAsia="Aptos" w:hAnsi="Aptos" w:cs="Times New Roman"/>
          <w:sz w:val="20"/>
        </w:rPr>
      </w:pPr>
      <w:r w:rsidRPr="00190EAC">
        <w:rPr>
          <w:rFonts w:ascii="Aptos" w:eastAsia="Aptos" w:hAnsi="Aptos" w:cs="Times New Roman"/>
          <w:b/>
          <w:bCs/>
          <w:sz w:val="20"/>
        </w:rPr>
        <w:t>Dubaï, Émirats Arabes Unis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32" style="width:0;height:1.5pt" o:hralign="center" o:hrstd="t" o:hr="t" fillcolor="#a0a0a0" stroked="f"/>
        </w:pict>
      </w:r>
    </w:p>
    <w:p w:rsidR="00C22771" w:rsidRPr="00190EAC" w:rsidRDefault="00190EAC" w:rsidP="00C22771">
      <w:pPr>
        <w:rPr>
          <w:rFonts w:ascii="Aptos" w:eastAsia="Aptos" w:hAnsi="Aptos" w:cs="Times New Roman"/>
          <w:b/>
          <w:bCs/>
          <w:sz w:val="20"/>
        </w:rPr>
      </w:pPr>
      <w:r>
        <w:rPr>
          <w:rFonts w:ascii="Aptos" w:eastAsia="Aptos" w:hAnsi="Aptos" w:cs="Times New Roman"/>
          <w:b/>
          <w:bCs/>
          <w:sz w:val="20"/>
        </w:rPr>
        <w:t>8</w:t>
      </w:r>
      <w:r w:rsidR="00C22771" w:rsidRPr="00190EAC">
        <w:rPr>
          <w:rFonts w:ascii="Aptos" w:eastAsia="Aptos" w:hAnsi="Aptos" w:cs="Times New Roman"/>
          <w:b/>
          <w:bCs/>
          <w:sz w:val="20"/>
        </w:rPr>
        <w:t>. Modalités d’évaluation</w:t>
      </w:r>
    </w:p>
    <w:p w:rsidR="00C22771" w:rsidRPr="00190EAC" w:rsidRDefault="00C22771" w:rsidP="00C22771">
      <w:pPr>
        <w:numPr>
          <w:ilvl w:val="0"/>
          <w:numId w:val="23"/>
        </w:numPr>
        <w:rPr>
          <w:rFonts w:ascii="Aptos" w:eastAsia="Aptos" w:hAnsi="Aptos" w:cs="Times New Roman"/>
          <w:sz w:val="20"/>
        </w:rPr>
      </w:pPr>
      <w:r w:rsidRPr="00190EAC">
        <w:rPr>
          <w:rFonts w:ascii="Aptos" w:eastAsia="Aptos" w:hAnsi="Aptos" w:cs="Times New Roman"/>
          <w:sz w:val="20"/>
        </w:rPr>
        <w:t>Évaluation des cas pratiques sur le contrôle et la gestion des risques</w:t>
      </w:r>
    </w:p>
    <w:p w:rsidR="00C22771" w:rsidRPr="00190EAC" w:rsidRDefault="00C22771" w:rsidP="00C22771">
      <w:pPr>
        <w:numPr>
          <w:ilvl w:val="0"/>
          <w:numId w:val="23"/>
        </w:numPr>
        <w:rPr>
          <w:rFonts w:ascii="Aptos" w:eastAsia="Aptos" w:hAnsi="Aptos" w:cs="Times New Roman"/>
          <w:sz w:val="20"/>
        </w:rPr>
      </w:pPr>
      <w:r w:rsidRPr="00190EAC">
        <w:rPr>
          <w:rFonts w:ascii="Aptos" w:eastAsia="Aptos" w:hAnsi="Aptos" w:cs="Times New Roman"/>
          <w:sz w:val="20"/>
        </w:rPr>
        <w:t>Présentation d'un projet individuel de gestion budgétaire</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33" style="width:0;height:1.5pt" o:hralign="center" o:hrstd="t" o:hr="t" fillcolor="#a0a0a0" stroked="f"/>
        </w:pict>
      </w:r>
    </w:p>
    <w:p w:rsidR="00C22771" w:rsidRPr="00190EAC" w:rsidRDefault="00190EAC" w:rsidP="00C22771">
      <w:pPr>
        <w:rPr>
          <w:rFonts w:ascii="Aptos" w:eastAsia="Aptos" w:hAnsi="Aptos" w:cs="Times New Roman"/>
          <w:b/>
          <w:bCs/>
          <w:sz w:val="20"/>
        </w:rPr>
      </w:pPr>
      <w:r>
        <w:rPr>
          <w:rFonts w:ascii="Aptos" w:eastAsia="Aptos" w:hAnsi="Aptos" w:cs="Times New Roman"/>
          <w:b/>
          <w:bCs/>
          <w:sz w:val="20"/>
        </w:rPr>
        <w:t>9</w:t>
      </w:r>
      <w:r w:rsidR="00C22771" w:rsidRPr="00190EAC">
        <w:rPr>
          <w:rFonts w:ascii="Aptos" w:eastAsia="Aptos" w:hAnsi="Aptos" w:cs="Times New Roman"/>
          <w:b/>
          <w:bCs/>
          <w:sz w:val="20"/>
        </w:rPr>
        <w:t>. Formateurs</w:t>
      </w:r>
    </w:p>
    <w:p w:rsidR="00C22771" w:rsidRPr="00190EAC" w:rsidRDefault="00C22771" w:rsidP="00C22771">
      <w:pPr>
        <w:numPr>
          <w:ilvl w:val="0"/>
          <w:numId w:val="24"/>
        </w:numPr>
        <w:rPr>
          <w:rFonts w:ascii="Aptos" w:eastAsia="Aptos" w:hAnsi="Aptos" w:cs="Times New Roman"/>
          <w:sz w:val="20"/>
        </w:rPr>
      </w:pPr>
      <w:r w:rsidRPr="00190EAC">
        <w:rPr>
          <w:rFonts w:ascii="Aptos" w:eastAsia="Aptos" w:hAnsi="Aptos" w:cs="Times New Roman"/>
          <w:b/>
          <w:bCs/>
          <w:sz w:val="20"/>
        </w:rPr>
        <w:t>Nom du formateur 1</w:t>
      </w:r>
      <w:r w:rsidRPr="00190EAC">
        <w:rPr>
          <w:rFonts w:ascii="Aptos" w:eastAsia="Aptos" w:hAnsi="Aptos" w:cs="Times New Roman"/>
          <w:sz w:val="20"/>
        </w:rPr>
        <w:t xml:space="preserve"> : Expert en gestion financière des entreprises publiques</w:t>
      </w:r>
    </w:p>
    <w:p w:rsidR="00C22771" w:rsidRPr="00190EAC" w:rsidRDefault="00C22771" w:rsidP="00C22771">
      <w:pPr>
        <w:numPr>
          <w:ilvl w:val="0"/>
          <w:numId w:val="24"/>
        </w:numPr>
        <w:rPr>
          <w:rFonts w:ascii="Aptos" w:eastAsia="Aptos" w:hAnsi="Aptos" w:cs="Times New Roman"/>
          <w:sz w:val="20"/>
        </w:rPr>
      </w:pPr>
      <w:r w:rsidRPr="00190EAC">
        <w:rPr>
          <w:rFonts w:ascii="Aptos" w:eastAsia="Aptos" w:hAnsi="Aptos" w:cs="Times New Roman"/>
          <w:b/>
          <w:bCs/>
          <w:sz w:val="20"/>
        </w:rPr>
        <w:t>Nom du formateur 2</w:t>
      </w:r>
      <w:r w:rsidRPr="00190EAC">
        <w:rPr>
          <w:rFonts w:ascii="Aptos" w:eastAsia="Aptos" w:hAnsi="Aptos" w:cs="Times New Roman"/>
          <w:sz w:val="20"/>
        </w:rPr>
        <w:t xml:space="preserve"> : Consultant en gestion des risques budgétaires</w:t>
      </w:r>
    </w:p>
    <w:p w:rsidR="00C22771" w:rsidRPr="00190EAC" w:rsidRDefault="00190EAC" w:rsidP="00C22771">
      <w:pPr>
        <w:rPr>
          <w:rFonts w:ascii="Aptos" w:eastAsia="Aptos" w:hAnsi="Aptos" w:cs="Times New Roman"/>
          <w:sz w:val="20"/>
        </w:rPr>
      </w:pPr>
      <w:r w:rsidRPr="00190EAC">
        <w:rPr>
          <w:rFonts w:ascii="Aptos" w:eastAsia="Aptos" w:hAnsi="Aptos" w:cs="Times New Roman"/>
          <w:sz w:val="20"/>
        </w:rPr>
        <w:pict>
          <v:rect id="_x0000_i1034" style="width:0;height:1.5pt" o:hralign="center" o:hrstd="t" o:hr="t" fillcolor="#a0a0a0" stroked="f"/>
        </w:pict>
      </w:r>
    </w:p>
    <w:p w:rsidR="00C22771" w:rsidRPr="00190EAC" w:rsidRDefault="00C22771" w:rsidP="00C22771">
      <w:pPr>
        <w:rPr>
          <w:rFonts w:ascii="Aptos" w:eastAsia="Aptos" w:hAnsi="Aptos" w:cs="Times New Roman"/>
          <w:b/>
          <w:bCs/>
          <w:sz w:val="20"/>
        </w:rPr>
      </w:pPr>
      <w:r w:rsidRPr="00190EAC">
        <w:rPr>
          <w:rFonts w:ascii="Aptos" w:eastAsia="Aptos" w:hAnsi="Aptos" w:cs="Times New Roman"/>
          <w:b/>
          <w:bCs/>
          <w:sz w:val="20"/>
        </w:rPr>
        <w:t>1</w:t>
      </w:r>
      <w:r w:rsidR="00190EAC">
        <w:rPr>
          <w:rFonts w:ascii="Aptos" w:eastAsia="Aptos" w:hAnsi="Aptos" w:cs="Times New Roman"/>
          <w:b/>
          <w:bCs/>
          <w:sz w:val="20"/>
        </w:rPr>
        <w:t>0</w:t>
      </w:r>
      <w:r w:rsidRPr="00190EAC">
        <w:rPr>
          <w:rFonts w:ascii="Aptos" w:eastAsia="Aptos" w:hAnsi="Aptos" w:cs="Times New Roman"/>
          <w:b/>
          <w:bCs/>
          <w:sz w:val="20"/>
        </w:rPr>
        <w:t>. Certificat et validation</w:t>
      </w:r>
    </w:p>
    <w:p w:rsidR="00C22771" w:rsidRPr="00190EAC" w:rsidRDefault="00C22771" w:rsidP="00C22771">
      <w:pPr>
        <w:rPr>
          <w:rFonts w:ascii="Aptos" w:eastAsia="Aptos" w:hAnsi="Aptos" w:cs="Times New Roman"/>
          <w:sz w:val="20"/>
        </w:rPr>
      </w:pPr>
      <w:r w:rsidRPr="00190EAC">
        <w:rPr>
          <w:rFonts w:ascii="Aptos" w:eastAsia="Aptos" w:hAnsi="Aptos" w:cs="Times New Roman"/>
          <w:sz w:val="20"/>
        </w:rPr>
        <w:t>À l’issue de la formation, un certificat de participation sera délivré aux participants ayant satisfait aux exigences de la formation.</w:t>
      </w:r>
    </w:p>
    <w:p w:rsidR="00732295" w:rsidRPr="00190EAC" w:rsidRDefault="00732295" w:rsidP="00C22771">
      <w:pPr>
        <w:rPr>
          <w:sz w:val="20"/>
        </w:rPr>
      </w:pPr>
      <w:bookmarkStart w:id="0" w:name="_GoBack"/>
      <w:bookmarkEnd w:id="0"/>
    </w:p>
    <w:sectPr w:rsidR="00732295" w:rsidRPr="00190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D8D"/>
    <w:multiLevelType w:val="multilevel"/>
    <w:tmpl w:val="2D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57021"/>
    <w:multiLevelType w:val="multilevel"/>
    <w:tmpl w:val="CAC8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3114B"/>
    <w:multiLevelType w:val="multilevel"/>
    <w:tmpl w:val="16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361A9"/>
    <w:multiLevelType w:val="multilevel"/>
    <w:tmpl w:val="B50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71830"/>
    <w:multiLevelType w:val="multilevel"/>
    <w:tmpl w:val="459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43EA4"/>
    <w:multiLevelType w:val="multilevel"/>
    <w:tmpl w:val="A3D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21B25"/>
    <w:multiLevelType w:val="multilevel"/>
    <w:tmpl w:val="341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462C5"/>
    <w:multiLevelType w:val="multilevel"/>
    <w:tmpl w:val="F3E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02905"/>
    <w:multiLevelType w:val="multilevel"/>
    <w:tmpl w:val="E26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A3E97"/>
    <w:multiLevelType w:val="multilevel"/>
    <w:tmpl w:val="B25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10A57"/>
    <w:multiLevelType w:val="multilevel"/>
    <w:tmpl w:val="E03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5647B"/>
    <w:multiLevelType w:val="multilevel"/>
    <w:tmpl w:val="329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A55CB9"/>
    <w:multiLevelType w:val="multilevel"/>
    <w:tmpl w:val="DC0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2658A"/>
    <w:multiLevelType w:val="multilevel"/>
    <w:tmpl w:val="665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8F53F3"/>
    <w:multiLevelType w:val="multilevel"/>
    <w:tmpl w:val="A86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6757A"/>
    <w:multiLevelType w:val="multilevel"/>
    <w:tmpl w:val="41A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4170AE"/>
    <w:multiLevelType w:val="multilevel"/>
    <w:tmpl w:val="3940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B7BD8"/>
    <w:multiLevelType w:val="multilevel"/>
    <w:tmpl w:val="E0C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AC1A3E"/>
    <w:multiLevelType w:val="multilevel"/>
    <w:tmpl w:val="CC3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033456"/>
    <w:multiLevelType w:val="multilevel"/>
    <w:tmpl w:val="F30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38254A"/>
    <w:multiLevelType w:val="multilevel"/>
    <w:tmpl w:val="7EE2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457B62"/>
    <w:multiLevelType w:val="multilevel"/>
    <w:tmpl w:val="4C8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3A59B2"/>
    <w:multiLevelType w:val="multilevel"/>
    <w:tmpl w:val="90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783792"/>
    <w:multiLevelType w:val="multilevel"/>
    <w:tmpl w:val="2B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8"/>
  </w:num>
  <w:num w:numId="4">
    <w:abstractNumId w:val="2"/>
  </w:num>
  <w:num w:numId="5">
    <w:abstractNumId w:val="6"/>
  </w:num>
  <w:num w:numId="6">
    <w:abstractNumId w:val="23"/>
  </w:num>
  <w:num w:numId="7">
    <w:abstractNumId w:val="11"/>
  </w:num>
  <w:num w:numId="8">
    <w:abstractNumId w:val="14"/>
  </w:num>
  <w:num w:numId="9">
    <w:abstractNumId w:val="21"/>
  </w:num>
  <w:num w:numId="10">
    <w:abstractNumId w:val="17"/>
  </w:num>
  <w:num w:numId="11">
    <w:abstractNumId w:val="19"/>
  </w:num>
  <w:num w:numId="12">
    <w:abstractNumId w:val="8"/>
  </w:num>
  <w:num w:numId="13">
    <w:abstractNumId w:val="5"/>
  </w:num>
  <w:num w:numId="14">
    <w:abstractNumId w:val="13"/>
  </w:num>
  <w:num w:numId="15">
    <w:abstractNumId w:val="20"/>
  </w:num>
  <w:num w:numId="16">
    <w:abstractNumId w:val="15"/>
  </w:num>
  <w:num w:numId="17">
    <w:abstractNumId w:val="22"/>
  </w:num>
  <w:num w:numId="18">
    <w:abstractNumId w:val="3"/>
  </w:num>
  <w:num w:numId="19">
    <w:abstractNumId w:val="4"/>
  </w:num>
  <w:num w:numId="20">
    <w:abstractNumId w:val="1"/>
  </w:num>
  <w:num w:numId="21">
    <w:abstractNumId w:val="9"/>
  </w:num>
  <w:num w:numId="22">
    <w:abstractNumId w:val="12"/>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D0A46"/>
    <w:rsid w:val="00190EAC"/>
    <w:rsid w:val="003377E3"/>
    <w:rsid w:val="00732295"/>
    <w:rsid w:val="00C22771"/>
    <w:rsid w:val="00C5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2683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2024-10-22T12:49:00Z</dcterms:created>
  <dcterms:modified xsi:type="dcterms:W3CDTF">2024-11-05T15:32:00Z</dcterms:modified>
</cp:coreProperties>
</file>