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04D" w:rsidRDefault="00BD604D" w:rsidP="00BD604D">
      <w:pPr>
        <w:jc w:val="center"/>
        <w:rPr>
          <w:b/>
          <w:bCs/>
        </w:rPr>
      </w:pPr>
      <w:r>
        <w:rPr>
          <w:noProof/>
          <w:lang w:eastAsia="fr-FR"/>
        </w:rPr>
        <w:drawing>
          <wp:inline distT="0" distB="0" distL="0" distR="0" wp14:anchorId="124DB1AA" wp14:editId="49A5803A">
            <wp:extent cx="1468985" cy="1426519"/>
            <wp:effectExtent l="0" t="0" r="0" b="254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8985" cy="1426519"/>
                    </a:xfrm>
                    <a:prstGeom prst="rect">
                      <a:avLst/>
                    </a:prstGeom>
                  </pic:spPr>
                </pic:pic>
              </a:graphicData>
            </a:graphic>
          </wp:inline>
        </w:drawing>
      </w:r>
    </w:p>
    <w:p w:rsidR="00BD604D" w:rsidRPr="00BD604D" w:rsidRDefault="008D48E4" w:rsidP="00BD604D">
      <w:pPr>
        <w:jc w:val="center"/>
        <w:rPr>
          <w:b/>
          <w:bCs/>
          <w:sz w:val="36"/>
        </w:rPr>
      </w:pPr>
      <w:r w:rsidRPr="00BD604D">
        <w:rPr>
          <w:b/>
          <w:bCs/>
          <w:sz w:val="36"/>
        </w:rPr>
        <w:t>Thème de Formation : GRH dans le contexte de la GAR et des budgets programmes (GPEEC, SIGRH)</w:t>
      </w:r>
    </w:p>
    <w:p w:rsidR="00BD604D" w:rsidRDefault="00BD604D" w:rsidP="00BD604D">
      <w:pPr>
        <w:rPr>
          <w:b/>
          <w:bCs/>
        </w:rPr>
      </w:pPr>
      <w:r>
        <w:rPr>
          <w:b/>
          <w:bCs/>
        </w:rPr>
        <w:t>1. Contexte et justification de la formation</w:t>
      </w:r>
    </w:p>
    <w:p w:rsidR="00BD604D" w:rsidRDefault="00BD604D" w:rsidP="00BD604D">
      <w:r>
        <w:t>La Gestion des Ressources Humaines (GRH) dans le contexte de la Gestion Axée sur les Résultats (GAR) et des budgets programmes implique une gestion plus stratégique et orientée vers l’efficacité. Cela exige la mise en place d'outils de gestion prévisionnelle des emplois, des effectifs et des compétences (GPEEC) et de systèmes intégrés de gestion des ressources humaines (SIGRH) pour une meilleure planification, allocation et gestion des ressources humaines dans les administrations publiques. Cette formation vise à renforcer les capacités des cadres sur ces outils modernes afin de garantir une meilleure adéquation entre les besoins en compétences et les objectifs des politiques publiques.</w:t>
      </w:r>
    </w:p>
    <w:p w:rsidR="00BD604D" w:rsidRDefault="00BD604D" w:rsidP="00BD604D">
      <w:pPr>
        <w:rPr>
          <w:b/>
          <w:bCs/>
        </w:rPr>
      </w:pPr>
      <w:r>
        <w:rPr>
          <w:b/>
          <w:bCs/>
        </w:rPr>
        <w:t>2. Public(s) cible(s)</w:t>
      </w:r>
    </w:p>
    <w:p w:rsidR="00BD604D" w:rsidRDefault="00BD604D" w:rsidP="00BD604D">
      <w:pPr>
        <w:numPr>
          <w:ilvl w:val="0"/>
          <w:numId w:val="8"/>
        </w:numPr>
        <w:suppressAutoHyphens/>
        <w:autoSpaceDN w:val="0"/>
        <w:spacing w:line="256" w:lineRule="auto"/>
        <w:textAlignment w:val="baseline"/>
      </w:pPr>
      <w:r>
        <w:t>Cadres et responsables RH des administrations publiques</w:t>
      </w:r>
    </w:p>
    <w:p w:rsidR="00BD604D" w:rsidRDefault="00BD604D" w:rsidP="00BD604D">
      <w:pPr>
        <w:numPr>
          <w:ilvl w:val="0"/>
          <w:numId w:val="8"/>
        </w:numPr>
        <w:suppressAutoHyphens/>
        <w:autoSpaceDN w:val="0"/>
        <w:spacing w:line="256" w:lineRule="auto"/>
        <w:textAlignment w:val="baseline"/>
      </w:pPr>
      <w:r>
        <w:t>Managers des ressources humaines dans les organisations publiques et parapubliques</w:t>
      </w:r>
    </w:p>
    <w:p w:rsidR="00BD604D" w:rsidRDefault="00BD604D" w:rsidP="00BD604D">
      <w:pPr>
        <w:numPr>
          <w:ilvl w:val="0"/>
          <w:numId w:val="8"/>
        </w:numPr>
        <w:suppressAutoHyphens/>
        <w:autoSpaceDN w:val="0"/>
        <w:spacing w:line="256" w:lineRule="auto"/>
        <w:textAlignment w:val="baseline"/>
      </w:pPr>
      <w:r>
        <w:t xml:space="preserve">Responsables des budgets </w:t>
      </w:r>
      <w:proofErr w:type="gramStart"/>
      <w:r>
        <w:t>programmes</w:t>
      </w:r>
      <w:proofErr w:type="gramEnd"/>
    </w:p>
    <w:p w:rsidR="00BD604D" w:rsidRDefault="00BD604D" w:rsidP="00BD604D">
      <w:pPr>
        <w:numPr>
          <w:ilvl w:val="0"/>
          <w:numId w:val="8"/>
        </w:numPr>
        <w:suppressAutoHyphens/>
        <w:autoSpaceDN w:val="0"/>
        <w:spacing w:line="256" w:lineRule="auto"/>
        <w:textAlignment w:val="baseline"/>
      </w:pPr>
      <w:r>
        <w:t>Experts en gestion des effectifs et des compétences</w:t>
      </w:r>
    </w:p>
    <w:p w:rsidR="00BD604D" w:rsidRDefault="00BD604D" w:rsidP="00BD604D">
      <w:pPr>
        <w:numPr>
          <w:ilvl w:val="0"/>
          <w:numId w:val="8"/>
        </w:numPr>
        <w:suppressAutoHyphens/>
        <w:autoSpaceDN w:val="0"/>
        <w:spacing w:line="256" w:lineRule="auto"/>
        <w:textAlignment w:val="baseline"/>
      </w:pPr>
      <w:r>
        <w:t>Consultants en GRH</w:t>
      </w:r>
    </w:p>
    <w:p w:rsidR="00BD604D" w:rsidRDefault="00BD604D" w:rsidP="00BD604D">
      <w:pPr>
        <w:rPr>
          <w:b/>
          <w:bCs/>
        </w:rPr>
      </w:pPr>
      <w:r>
        <w:rPr>
          <w:b/>
          <w:bCs/>
        </w:rPr>
        <w:t>3. Objectifs de la formation</w:t>
      </w:r>
    </w:p>
    <w:p w:rsidR="00BD604D" w:rsidRDefault="00BD604D" w:rsidP="00BD604D">
      <w:r>
        <w:rPr>
          <w:b/>
          <w:bCs/>
        </w:rPr>
        <w:t>3.1. Objectif général</w:t>
      </w:r>
      <w:r>
        <w:br/>
        <w:t>Maîtriser les principes et outils de gestion des ressources humaines dans le cadre de la Gestion Axée sur les Résultats (GAR) et des budgets programmes, avec un focus sur la GPEEC et les SIGRH.</w:t>
      </w:r>
    </w:p>
    <w:p w:rsidR="00BD604D" w:rsidRDefault="00BD604D" w:rsidP="00BD604D">
      <w:r>
        <w:rPr>
          <w:b/>
          <w:bCs/>
        </w:rPr>
        <w:t>3.2. Objectifs spécifiques</w:t>
      </w:r>
      <w:r>
        <w:br/>
        <w:t>À l'issue de cette formation, les participants seront capables de :</w:t>
      </w:r>
    </w:p>
    <w:p w:rsidR="00BD604D" w:rsidRDefault="00BD604D" w:rsidP="00BD604D">
      <w:pPr>
        <w:numPr>
          <w:ilvl w:val="0"/>
          <w:numId w:val="9"/>
        </w:numPr>
        <w:suppressAutoHyphens/>
        <w:autoSpaceDN w:val="0"/>
        <w:spacing w:line="256" w:lineRule="auto"/>
        <w:textAlignment w:val="baseline"/>
      </w:pPr>
      <w:r>
        <w:t>Mettre en œuvre la GPEEC pour optimiser l'adéquation entre les compétences et les besoins des administrations publiques</w:t>
      </w:r>
    </w:p>
    <w:p w:rsidR="00BD604D" w:rsidRDefault="00BD604D" w:rsidP="00BD604D">
      <w:pPr>
        <w:numPr>
          <w:ilvl w:val="0"/>
          <w:numId w:val="9"/>
        </w:numPr>
        <w:suppressAutoHyphens/>
        <w:autoSpaceDN w:val="0"/>
        <w:spacing w:line="256" w:lineRule="auto"/>
        <w:textAlignment w:val="baseline"/>
      </w:pPr>
      <w:r>
        <w:t>Utiliser les SIGRH pour une gestion efficace des effectifs et des compétences</w:t>
      </w:r>
    </w:p>
    <w:p w:rsidR="00BD604D" w:rsidRDefault="00BD604D" w:rsidP="00BD604D">
      <w:pPr>
        <w:numPr>
          <w:ilvl w:val="0"/>
          <w:numId w:val="9"/>
        </w:numPr>
        <w:suppressAutoHyphens/>
        <w:autoSpaceDN w:val="0"/>
        <w:spacing w:line="256" w:lineRule="auto"/>
        <w:textAlignment w:val="baseline"/>
      </w:pPr>
      <w:r>
        <w:t>Aligner la gestion des ressources humaines sur les objectifs des budgets programmes et la GAR</w:t>
      </w:r>
    </w:p>
    <w:p w:rsidR="00BD604D" w:rsidRDefault="00BD604D" w:rsidP="00BD604D">
      <w:pPr>
        <w:numPr>
          <w:ilvl w:val="0"/>
          <w:numId w:val="9"/>
        </w:numPr>
        <w:suppressAutoHyphens/>
        <w:autoSpaceDN w:val="0"/>
        <w:spacing w:line="256" w:lineRule="auto"/>
        <w:textAlignment w:val="baseline"/>
      </w:pPr>
      <w:r>
        <w:t>Suivre et évaluer l’efficacité des politiques RH à travers des indicateurs de performance</w:t>
      </w:r>
    </w:p>
    <w:p w:rsidR="00BD604D" w:rsidRDefault="00BD604D" w:rsidP="00BD604D">
      <w:pPr>
        <w:numPr>
          <w:ilvl w:val="0"/>
          <w:numId w:val="9"/>
        </w:numPr>
        <w:suppressAutoHyphens/>
        <w:autoSpaceDN w:val="0"/>
        <w:spacing w:line="256" w:lineRule="auto"/>
        <w:textAlignment w:val="baseline"/>
      </w:pPr>
      <w:r>
        <w:lastRenderedPageBreak/>
        <w:t>Concevoir et mettre en œuvre des stratégies d’ajustement des effectifs en fonction des priorités des programmes publics</w:t>
      </w:r>
    </w:p>
    <w:p w:rsidR="00BD604D" w:rsidRDefault="00BD604D" w:rsidP="00BD604D">
      <w:r>
        <w:rPr>
          <w:noProof/>
          <w:lang w:eastAsia="fr-FR"/>
        </w:rPr>
        <mc:AlternateContent>
          <mc:Choice Requires="wps">
            <w:drawing>
              <wp:inline distT="0" distB="0" distL="0" distR="0" wp14:anchorId="72855140" wp14:editId="7F8B03B3">
                <wp:extent cx="0" cy="19046"/>
                <wp:effectExtent l="0" t="0" r="19050" b="19054"/>
                <wp:docPr id="54" name="Horizontal Line 196"/>
                <wp:cNvGraphicFramePr/>
                <a:graphic xmlns:a="http://schemas.openxmlformats.org/drawingml/2006/main">
                  <a:graphicData uri="http://schemas.microsoft.com/office/word/2010/wordprocessingShape">
                    <wps:wsp>
                      <wps:cNvSpPr/>
                      <wps:spPr>
                        <a:xfrm>
                          <a:off x="0" y="0"/>
                          <a:ext cx="0" cy="19046"/>
                        </a:xfrm>
                        <a:prstGeom prst="rect">
                          <a:avLst/>
                        </a:prstGeom>
                        <a:noFill/>
                        <a:ln w="9528" cap="flat">
                          <a:solidFill>
                            <a:srgbClr val="A0A0A0"/>
                          </a:solidFill>
                          <a:prstDash val="solid"/>
                          <a:miter/>
                        </a:ln>
                      </wps:spPr>
                      <wps:bodyPr lIns="0" tIns="0" rIns="0" bIns="0"/>
                    </wps:wsp>
                  </a:graphicData>
                </a:graphic>
              </wp:inline>
            </w:drawing>
          </mc:Choice>
          <mc:Fallback>
            <w:pict>
              <v:rect w14:anchorId="318BE94D" id="Horizontal Line 196"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" filled="f" strokecolor="#a0a0a0" strokeweight=".26467mm">
                <v:textbox inset="0,0,0,0"/>
                <w10:anchorlock/>
              </v:rect>
            </w:pict>
          </mc:Fallback>
        </mc:AlternateContent>
      </w:r>
    </w:p>
    <w:p w:rsidR="00BD604D" w:rsidRDefault="00BD604D" w:rsidP="00BD604D">
      <w:pPr>
        <w:rPr>
          <w:b/>
          <w:bCs/>
        </w:rPr>
      </w:pPr>
      <w:r>
        <w:rPr>
          <w:b/>
          <w:bCs/>
        </w:rPr>
        <w:t>4. Contenu de la formation</w:t>
      </w:r>
    </w:p>
    <w:p w:rsidR="00BD604D" w:rsidRDefault="00BD604D" w:rsidP="00BD604D">
      <w:pPr>
        <w:numPr>
          <w:ilvl w:val="0"/>
          <w:numId w:val="10"/>
        </w:numPr>
        <w:suppressAutoHyphens/>
        <w:autoSpaceDN w:val="0"/>
        <w:spacing w:line="256" w:lineRule="auto"/>
        <w:textAlignment w:val="baseline"/>
      </w:pPr>
      <w:r>
        <w:rPr>
          <w:b/>
          <w:bCs/>
        </w:rPr>
        <w:t>Module 1</w:t>
      </w:r>
      <w:r>
        <w:t xml:space="preserve"> : Introduction à la GAR et aux budgets programmes : implications pour la GRH</w:t>
      </w:r>
    </w:p>
    <w:p w:rsidR="00BD604D" w:rsidRDefault="00BD604D" w:rsidP="00BD604D">
      <w:pPr>
        <w:numPr>
          <w:ilvl w:val="0"/>
          <w:numId w:val="10"/>
        </w:numPr>
        <w:suppressAutoHyphens/>
        <w:autoSpaceDN w:val="0"/>
        <w:spacing w:line="256" w:lineRule="auto"/>
        <w:textAlignment w:val="baseline"/>
      </w:pPr>
      <w:r>
        <w:rPr>
          <w:b/>
          <w:bCs/>
        </w:rPr>
        <w:t>Module 2</w:t>
      </w:r>
      <w:r>
        <w:t xml:space="preserve"> : GPEEC : principes, outils et mise en œuvre dans le secteur public</w:t>
      </w:r>
    </w:p>
    <w:p w:rsidR="00BD604D" w:rsidRDefault="00BD604D" w:rsidP="00BD604D">
      <w:pPr>
        <w:numPr>
          <w:ilvl w:val="0"/>
          <w:numId w:val="10"/>
        </w:numPr>
        <w:suppressAutoHyphens/>
        <w:autoSpaceDN w:val="0"/>
        <w:spacing w:line="256" w:lineRule="auto"/>
        <w:textAlignment w:val="baseline"/>
      </w:pPr>
      <w:r>
        <w:rPr>
          <w:b/>
          <w:bCs/>
        </w:rPr>
        <w:t>Module 3</w:t>
      </w:r>
      <w:r>
        <w:t xml:space="preserve"> : SIGRH : utilisation des systèmes intégrés pour la gestion des effectifs et des compétences</w:t>
      </w:r>
    </w:p>
    <w:p w:rsidR="00BD604D" w:rsidRDefault="00BD604D" w:rsidP="00BD604D">
      <w:pPr>
        <w:numPr>
          <w:ilvl w:val="0"/>
          <w:numId w:val="10"/>
        </w:numPr>
        <w:suppressAutoHyphens/>
        <w:autoSpaceDN w:val="0"/>
        <w:spacing w:line="256" w:lineRule="auto"/>
        <w:textAlignment w:val="baseline"/>
      </w:pPr>
      <w:r>
        <w:rPr>
          <w:b/>
          <w:bCs/>
        </w:rPr>
        <w:t>Module 4</w:t>
      </w:r>
      <w:r>
        <w:t xml:space="preserve"> : Alignement des stratégies RH avec les objectifs de performance des programmes publics</w:t>
      </w:r>
    </w:p>
    <w:p w:rsidR="00BD604D" w:rsidRDefault="00BD604D" w:rsidP="00BD604D">
      <w:pPr>
        <w:numPr>
          <w:ilvl w:val="0"/>
          <w:numId w:val="10"/>
        </w:numPr>
        <w:suppressAutoHyphens/>
        <w:autoSpaceDN w:val="0"/>
        <w:spacing w:line="256" w:lineRule="auto"/>
        <w:textAlignment w:val="baseline"/>
      </w:pPr>
      <w:r>
        <w:rPr>
          <w:b/>
          <w:bCs/>
        </w:rPr>
        <w:t>Module 5</w:t>
      </w:r>
      <w:r>
        <w:t xml:space="preserve"> : Suivi et évaluation des politiques RH dans le cadre de la GAR</w:t>
      </w:r>
    </w:p>
    <w:p w:rsidR="00BD604D" w:rsidRDefault="00BD604D" w:rsidP="00BD604D">
      <w:pPr>
        <w:rPr>
          <w:b/>
          <w:bCs/>
        </w:rPr>
      </w:pPr>
      <w:r>
        <w:rPr>
          <w:b/>
          <w:bCs/>
        </w:rPr>
        <w:t>5. Méthodes pédagogiques</w:t>
      </w:r>
    </w:p>
    <w:p w:rsidR="00BD604D" w:rsidRDefault="00BD604D" w:rsidP="00BD604D">
      <w:pPr>
        <w:numPr>
          <w:ilvl w:val="0"/>
          <w:numId w:val="11"/>
        </w:numPr>
        <w:suppressAutoHyphens/>
        <w:autoSpaceDN w:val="0"/>
        <w:spacing w:line="256" w:lineRule="auto"/>
        <w:textAlignment w:val="baseline"/>
      </w:pPr>
      <w:r>
        <w:rPr>
          <w:b/>
          <w:bCs/>
        </w:rPr>
        <w:t>Exposés théoriques</w:t>
      </w:r>
      <w:r>
        <w:t xml:space="preserve"> sur les principes de la GPEEC et des SIGRH</w:t>
      </w:r>
    </w:p>
    <w:p w:rsidR="00BD604D" w:rsidRDefault="00BD604D" w:rsidP="00BD604D">
      <w:pPr>
        <w:numPr>
          <w:ilvl w:val="0"/>
          <w:numId w:val="11"/>
        </w:numPr>
        <w:suppressAutoHyphens/>
        <w:autoSpaceDN w:val="0"/>
        <w:spacing w:line="256" w:lineRule="auto"/>
        <w:textAlignment w:val="baseline"/>
      </w:pPr>
      <w:r>
        <w:rPr>
          <w:b/>
          <w:bCs/>
        </w:rPr>
        <w:t>Ateliers pratiques</w:t>
      </w:r>
      <w:r>
        <w:t xml:space="preserve"> sur l’utilisation des SIGRH pour la gestion prévisionnelle des effectifs</w:t>
      </w:r>
    </w:p>
    <w:p w:rsidR="00BD604D" w:rsidRDefault="00BD604D" w:rsidP="00BD604D">
      <w:pPr>
        <w:numPr>
          <w:ilvl w:val="0"/>
          <w:numId w:val="11"/>
        </w:numPr>
        <w:suppressAutoHyphens/>
        <w:autoSpaceDN w:val="0"/>
        <w:spacing w:line="256" w:lineRule="auto"/>
        <w:textAlignment w:val="baseline"/>
      </w:pPr>
      <w:r>
        <w:rPr>
          <w:b/>
          <w:bCs/>
        </w:rPr>
        <w:t>Études de cas</w:t>
      </w:r>
      <w:r>
        <w:t xml:space="preserve"> sur l’adéquation entre la GRH et la GAR dans les budgets programmes</w:t>
      </w:r>
    </w:p>
    <w:p w:rsidR="00BD604D" w:rsidRDefault="00BD604D" w:rsidP="00BD604D">
      <w:pPr>
        <w:numPr>
          <w:ilvl w:val="0"/>
          <w:numId w:val="11"/>
        </w:numPr>
        <w:suppressAutoHyphens/>
        <w:autoSpaceDN w:val="0"/>
        <w:spacing w:line="256" w:lineRule="auto"/>
        <w:textAlignment w:val="baseline"/>
      </w:pPr>
      <w:r>
        <w:rPr>
          <w:b/>
          <w:bCs/>
        </w:rPr>
        <w:t>Travaux en groupe</w:t>
      </w:r>
      <w:r>
        <w:t xml:space="preserve"> pour développer des stratégies RH adaptées aux contextes des participants</w:t>
      </w:r>
    </w:p>
    <w:p w:rsidR="00BD604D" w:rsidRDefault="00BD604D" w:rsidP="00BD604D">
      <w:pPr>
        <w:numPr>
          <w:ilvl w:val="0"/>
          <w:numId w:val="11"/>
        </w:numPr>
        <w:suppressAutoHyphens/>
        <w:autoSpaceDN w:val="0"/>
        <w:spacing w:line="256" w:lineRule="auto"/>
        <w:textAlignment w:val="baseline"/>
      </w:pPr>
      <w:r>
        <w:rPr>
          <w:b/>
          <w:bCs/>
        </w:rPr>
        <w:t>Simulations</w:t>
      </w:r>
      <w:r>
        <w:t xml:space="preserve"> d’utilisation des outils SIGRH pour gérer les effectifs en fonction des objectifs des programmes publics</w:t>
      </w:r>
    </w:p>
    <w:p w:rsidR="00BD604D" w:rsidRDefault="00BD604D" w:rsidP="00BD604D">
      <w:pPr>
        <w:rPr>
          <w:b/>
          <w:bCs/>
        </w:rPr>
      </w:pPr>
      <w:r>
        <w:rPr>
          <w:b/>
          <w:bCs/>
        </w:rPr>
        <w:t>6. Durée de la formation</w:t>
      </w:r>
    </w:p>
    <w:p w:rsidR="00BD604D" w:rsidRDefault="00BD604D" w:rsidP="00BD604D">
      <w:r>
        <w:rPr>
          <w:b/>
          <w:bCs/>
        </w:rPr>
        <w:t>1 semaine</w:t>
      </w:r>
      <w:r>
        <w:t xml:space="preserve"> (7 jours)</w:t>
      </w:r>
    </w:p>
    <w:p w:rsidR="00BD604D" w:rsidRDefault="00BD604D" w:rsidP="00BD604D">
      <w:pPr>
        <w:rPr>
          <w:b/>
          <w:bCs/>
        </w:rPr>
      </w:pPr>
      <w:r>
        <w:rPr>
          <w:b/>
          <w:bCs/>
        </w:rPr>
        <w:t>7. Lieu de la formation</w:t>
      </w:r>
    </w:p>
    <w:p w:rsidR="00BD604D" w:rsidRDefault="00BD604D" w:rsidP="00BD604D">
      <w:r>
        <w:rPr>
          <w:b/>
          <w:bCs/>
        </w:rPr>
        <w:t>Sénégal</w:t>
      </w:r>
      <w:r>
        <w:rPr>
          <w:noProof/>
          <w:lang w:eastAsia="fr-FR"/>
        </w:rPr>
        <mc:AlternateContent>
          <mc:Choice Requires="wps">
            <w:drawing>
              <wp:inline distT="0" distB="0" distL="0" distR="0" wp14:anchorId="5876F748" wp14:editId="66F972A0">
                <wp:extent cx="0" cy="19046"/>
                <wp:effectExtent l="0" t="0" r="19050" b="19054"/>
                <wp:docPr id="59" name="Horizontal Line 201"/>
                <wp:cNvGraphicFramePr/>
                <a:graphic xmlns:a="http://schemas.openxmlformats.org/drawingml/2006/main">
                  <a:graphicData uri="http://schemas.microsoft.com/office/word/2010/wordprocessingShape">
                    <wps:wsp>
                      <wps:cNvSpPr/>
                      <wps:spPr>
                        <a:xfrm>
                          <a:off x="0" y="0"/>
                          <a:ext cx="0" cy="19046"/>
                        </a:xfrm>
                        <a:prstGeom prst="rect">
                          <a:avLst/>
                        </a:prstGeom>
                        <a:noFill/>
                        <a:ln w="9528" cap="flat">
                          <a:solidFill>
                            <a:srgbClr val="A0A0A0"/>
                          </a:solidFill>
                          <a:prstDash val="solid"/>
                          <a:miter/>
                        </a:ln>
                      </wps:spPr>
                      <wps:bodyPr lIns="0" tIns="0" rIns="0" bIns="0"/>
                    </wps:wsp>
                  </a:graphicData>
                </a:graphic>
              </wp:inline>
            </w:drawing>
          </mc:Choice>
          <mc:Fallback>
            <w:pict>
              <v:rect w14:anchorId="2D37B951" id="Horizontal Line 201"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" filled="f" strokecolor="#a0a0a0" strokeweight=".26467mm">
                <v:textbox inset="0,0,0,0"/>
                <w10:anchorlock/>
              </v:rect>
            </w:pict>
          </mc:Fallback>
        </mc:AlternateContent>
      </w:r>
    </w:p>
    <w:p w:rsidR="00BD604D" w:rsidRDefault="00BD604D" w:rsidP="00BD604D">
      <w:pPr>
        <w:rPr>
          <w:b/>
          <w:bCs/>
        </w:rPr>
      </w:pPr>
      <w:r>
        <w:rPr>
          <w:b/>
          <w:bCs/>
        </w:rPr>
        <w:t>8</w:t>
      </w:r>
      <w:r>
        <w:rPr>
          <w:b/>
          <w:bCs/>
        </w:rPr>
        <w:t>. Modalités d’évaluation</w:t>
      </w:r>
    </w:p>
    <w:p w:rsidR="00BD604D" w:rsidRDefault="00BD604D" w:rsidP="00BD604D">
      <w:pPr>
        <w:numPr>
          <w:ilvl w:val="0"/>
          <w:numId w:val="12"/>
        </w:numPr>
        <w:suppressAutoHyphens/>
        <w:autoSpaceDN w:val="0"/>
        <w:spacing w:line="256" w:lineRule="auto"/>
        <w:textAlignment w:val="baseline"/>
      </w:pPr>
      <w:r>
        <w:t>Évaluations des plans RH élaborés par les participants</w:t>
      </w:r>
    </w:p>
    <w:p w:rsidR="00BD604D" w:rsidRDefault="00BD604D" w:rsidP="00BD604D">
      <w:pPr>
        <w:numPr>
          <w:ilvl w:val="0"/>
          <w:numId w:val="12"/>
        </w:numPr>
        <w:suppressAutoHyphens/>
        <w:autoSpaceDN w:val="0"/>
        <w:spacing w:line="256" w:lineRule="auto"/>
        <w:textAlignment w:val="baseline"/>
      </w:pPr>
      <w:r>
        <w:t>Études de cas pratiques et simulations d’utilisation des SIGRH</w:t>
      </w:r>
    </w:p>
    <w:p w:rsidR="00BD604D" w:rsidRDefault="00BD604D" w:rsidP="00BD604D">
      <w:pPr>
        <w:rPr>
          <w:b/>
          <w:bCs/>
        </w:rPr>
      </w:pPr>
      <w:r>
        <w:rPr>
          <w:b/>
          <w:bCs/>
        </w:rPr>
        <w:t>9</w:t>
      </w:r>
      <w:r>
        <w:rPr>
          <w:b/>
          <w:bCs/>
        </w:rPr>
        <w:t>. Formateurs</w:t>
      </w:r>
    </w:p>
    <w:p w:rsidR="00BD604D" w:rsidRDefault="00BD604D" w:rsidP="00BD604D">
      <w:pPr>
        <w:numPr>
          <w:ilvl w:val="0"/>
          <w:numId w:val="13"/>
        </w:numPr>
        <w:suppressAutoHyphens/>
        <w:autoSpaceDN w:val="0"/>
        <w:spacing w:line="256" w:lineRule="auto"/>
        <w:textAlignment w:val="baseline"/>
      </w:pPr>
      <w:r>
        <w:rPr>
          <w:b/>
          <w:bCs/>
        </w:rPr>
        <w:t>Nom du formateur 1</w:t>
      </w:r>
      <w:r>
        <w:t xml:space="preserve"> : Expert en gestion des ressources humaines publiques</w:t>
      </w:r>
    </w:p>
    <w:p w:rsidR="00BD604D" w:rsidRDefault="00BD604D" w:rsidP="00BD604D">
      <w:pPr>
        <w:numPr>
          <w:ilvl w:val="0"/>
          <w:numId w:val="13"/>
        </w:numPr>
        <w:suppressAutoHyphens/>
        <w:autoSpaceDN w:val="0"/>
        <w:spacing w:line="256" w:lineRule="auto"/>
        <w:textAlignment w:val="baseline"/>
      </w:pPr>
      <w:r>
        <w:rPr>
          <w:b/>
          <w:bCs/>
        </w:rPr>
        <w:t>Nom du formateur 2</w:t>
      </w:r>
      <w:r>
        <w:t xml:space="preserve"> : Consultant en SIGRH et gestion prévisionnelle des effectifs</w:t>
      </w:r>
    </w:p>
    <w:p w:rsidR="00BD604D" w:rsidRDefault="00BD604D" w:rsidP="00BD604D">
      <w:pPr>
        <w:rPr>
          <w:b/>
          <w:bCs/>
        </w:rPr>
      </w:pPr>
      <w:r>
        <w:rPr>
          <w:noProof/>
          <w:lang w:eastAsia="fr-FR"/>
        </w:rPr>
        <mc:AlternateContent>
          <mc:Choice Requires="wps">
            <w:drawing>
              <wp:inline distT="0" distB="0" distL="0" distR="0" wp14:anchorId="4B8A63B4" wp14:editId="171FE090">
                <wp:extent cx="0" cy="19046"/>
                <wp:effectExtent l="0" t="0" r="19050" b="19054"/>
                <wp:docPr id="61" name="Horizontal Line 203"/>
                <wp:cNvGraphicFramePr/>
                <a:graphic xmlns:a="http://schemas.openxmlformats.org/drawingml/2006/main">
                  <a:graphicData uri="http://schemas.microsoft.com/office/word/2010/wordprocessingShape">
                    <wps:wsp>
                      <wps:cNvSpPr/>
                      <wps:spPr>
                        <a:xfrm>
                          <a:off x="0" y="0"/>
                          <a:ext cx="0" cy="19046"/>
                        </a:xfrm>
                        <a:prstGeom prst="rect">
                          <a:avLst/>
                        </a:prstGeom>
                        <a:noFill/>
                        <a:ln w="9528" cap="flat">
                          <a:solidFill>
                            <a:srgbClr val="A0A0A0"/>
                          </a:solidFill>
                          <a:prstDash val="solid"/>
                          <a:miter/>
                        </a:ln>
                      </wps:spPr>
                      <wps:bodyPr lIns="0" tIns="0" rIns="0" bIns="0"/>
                    </wps:wsp>
                  </a:graphicData>
                </a:graphic>
              </wp:inline>
            </w:drawing>
          </mc:Choice>
          <mc:Fallback>
            <w:pict>
              <v:rect w14:anchorId="35A7B1A8" id="Horizontal Line 203"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" filled="f" strokecolor="#a0a0a0" strokeweight=".26467mm">
                <v:textbox inset="0,0,0,0"/>
                <w10:anchorlock/>
              </v:rect>
            </w:pict>
          </mc:Fallback>
        </mc:AlternateContent>
      </w:r>
      <w:r>
        <w:rPr>
          <w:b/>
          <w:bCs/>
        </w:rPr>
        <w:t>1</w:t>
      </w:r>
      <w:r>
        <w:rPr>
          <w:b/>
          <w:bCs/>
        </w:rPr>
        <w:t>0</w:t>
      </w:r>
      <w:r>
        <w:rPr>
          <w:b/>
          <w:bCs/>
        </w:rPr>
        <w:t>. Certificat et validation</w:t>
      </w:r>
    </w:p>
    <w:p w:rsidR="00BD604D" w:rsidRDefault="00BD604D" w:rsidP="00BD604D">
      <w:r>
        <w:t xml:space="preserve">Les participants recevront un certificat de participation délivré par </w:t>
      </w:r>
      <w:r>
        <w:t>IFE Group.</w:t>
      </w:r>
      <w:bookmarkStart w:id="0" w:name="_GoBack"/>
      <w:bookmarkEnd w:id="0"/>
    </w:p>
    <w:p w:rsidR="00732295" w:rsidRPr="008D48E4" w:rsidRDefault="00732295" w:rsidP="00BD604D"/>
    <w:sectPr w:rsidR="00732295" w:rsidRPr="008D48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43907"/>
    <w:multiLevelType w:val="multilevel"/>
    <w:tmpl w:val="1232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405E7C"/>
    <w:multiLevelType w:val="multilevel"/>
    <w:tmpl w:val="047A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771477"/>
    <w:multiLevelType w:val="multilevel"/>
    <w:tmpl w:val="901E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5D449B"/>
    <w:multiLevelType w:val="multilevel"/>
    <w:tmpl w:val="5B88D5C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nsid w:val="3CE010D3"/>
    <w:multiLevelType w:val="multilevel"/>
    <w:tmpl w:val="2F5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E42E8E"/>
    <w:multiLevelType w:val="multilevel"/>
    <w:tmpl w:val="99A0367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nsid w:val="4E8C177C"/>
    <w:multiLevelType w:val="multilevel"/>
    <w:tmpl w:val="404ADE8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nsid w:val="5420295A"/>
    <w:multiLevelType w:val="multilevel"/>
    <w:tmpl w:val="28CE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F00C77"/>
    <w:multiLevelType w:val="multilevel"/>
    <w:tmpl w:val="DF6A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641F3A"/>
    <w:multiLevelType w:val="multilevel"/>
    <w:tmpl w:val="5324DFA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nsid w:val="65F52A51"/>
    <w:multiLevelType w:val="multilevel"/>
    <w:tmpl w:val="23FE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E624D1"/>
    <w:multiLevelType w:val="multilevel"/>
    <w:tmpl w:val="220EFC6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nsid w:val="7DBF4CB0"/>
    <w:multiLevelType w:val="multilevel"/>
    <w:tmpl w:val="8A324B7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7"/>
  </w:num>
  <w:num w:numId="2">
    <w:abstractNumId w:val="0"/>
  </w:num>
  <w:num w:numId="3">
    <w:abstractNumId w:val="10"/>
  </w:num>
  <w:num w:numId="4">
    <w:abstractNumId w:val="4"/>
  </w:num>
  <w:num w:numId="5">
    <w:abstractNumId w:val="8"/>
  </w:num>
  <w:num w:numId="6">
    <w:abstractNumId w:val="1"/>
  </w:num>
  <w:num w:numId="7">
    <w:abstractNumId w:val="2"/>
  </w:num>
  <w:num w:numId="8">
    <w:abstractNumId w:val="6"/>
  </w:num>
  <w:num w:numId="9">
    <w:abstractNumId w:val="11"/>
  </w:num>
  <w:num w:numId="10">
    <w:abstractNumId w:val="3"/>
  </w:num>
  <w:num w:numId="11">
    <w:abstractNumId w:val="9"/>
  </w:num>
  <w:num w:numId="12">
    <w:abstractNumId w:val="5"/>
  </w:num>
  <w:num w:numId="1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40"/>
    <w:rsid w:val="000735EC"/>
    <w:rsid w:val="000D0A46"/>
    <w:rsid w:val="000E2CCA"/>
    <w:rsid w:val="00127F58"/>
    <w:rsid w:val="00162A3F"/>
    <w:rsid w:val="001E06CE"/>
    <w:rsid w:val="00285D61"/>
    <w:rsid w:val="003377E3"/>
    <w:rsid w:val="00362EF0"/>
    <w:rsid w:val="00574995"/>
    <w:rsid w:val="00732295"/>
    <w:rsid w:val="00781144"/>
    <w:rsid w:val="008D48E4"/>
    <w:rsid w:val="009837C8"/>
    <w:rsid w:val="00A23D23"/>
    <w:rsid w:val="00A70482"/>
    <w:rsid w:val="00B21C99"/>
    <w:rsid w:val="00BD604D"/>
    <w:rsid w:val="00C22771"/>
    <w:rsid w:val="00C52740"/>
    <w:rsid w:val="00C77E6D"/>
    <w:rsid w:val="00F10A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6D755-B59A-4803-9C6F-84684A9A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740"/>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520</Words>
  <Characters>2862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4</cp:revision>
  <dcterms:created xsi:type="dcterms:W3CDTF">2024-10-22T13:37:00Z</dcterms:created>
  <dcterms:modified xsi:type="dcterms:W3CDTF">2024-11-05T16:15:00Z</dcterms:modified>
</cp:coreProperties>
</file>